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28: MUSIC, DANCE &amp; PERFORMING ARTS OF TRIPURA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Hojagiri Dance, Garia Folk Dances, Lebang Boomani, and Traditional Musical Instruments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Indigenous Performing Traditions</w:t>
      </w:r>
    </w:p>
    <w:p>
      <w:pPr>
        <w:spacing w:after="100" w:line="276" w:lineRule="auto"/>
      </w:pPr>
      <w:r>
        <w:t>The performing arts of Tripura represent an ancient fusion of agricultural rhythms, religious devotion, and extraordinary physical balance:</w:t>
      </w:r>
    </w:p>
    <w:p>
      <w:pPr>
        <w:spacing w:after="100" w:line="276" w:lineRule="auto"/>
      </w:pPr>
      <w:r>
        <w:t>• Hojagiri Dance: The world-renowned folk dance of the Reang (Bru) community performed by young women who balance atop earthen water pitchers and oil lamps on plates while rhythmically undulating their torsos.</w:t>
        <w:br/>
        <w:t>• Garia Dance: Joyous group folk dance celebrating the Garia harvest festival accompanied by rhythmic beating of the Kham drum.</w:t>
        <w:br/>
        <w:t>• Traditional Instruments: The Kham (wooden double-headed drum), Sumui (bamboo transverse flute), Sarinda (bowed string instrument), and Dambur (small hourglass drum).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UNA-DOC-28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