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29: LITERATURE &amp; HISTORICAL CULTURAL REFERENCES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The Rajmala Royal Chronicle, Rabindranath Tagore's Tripura Works, and Modern Poetry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Textual References in Royal Chronicles and Literature</w:t>
      </w:r>
    </w:p>
    <w:p>
      <w:pPr>
        <w:spacing w:after="100" w:line="276" w:lineRule="auto"/>
      </w:pPr>
      <w:r>
        <w:t>• The Rajmala: The royal Sanskrit-Bengali verse chronicle documenting the Manikya dynasty from antiquity, referencing northern Tripura and the Manu river basin.</w:t>
        <w:br/>
        <w:t>• Rabindranath Tagore's Literary Affinity: Nobel laureate Rabindranath Tagore maintained intimate friendships with four generations of Tripura kings, setting his acclaimed dramas 'Visarjan' and novel 'Rajarshi' in the cultural milieu of Tripura.</w:t>
        <w:br/>
        <w:t>• Modern Poetry: Contemporary Kokborok poets celebrate Unakoti as the spiritual heart of indigenous Borok cultural identity.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