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94B37"/>
          <w:sz w:val="42"/>
        </w:rPr>
        <w:t>35: KAILASHAHAR — HISTORICAL SUB-DIVISION &amp; TOWN PROFILE</w:t>
      </w:r>
    </w:p>
    <w:p>
      <w:pPr>
        <w:spacing w:before="0" w:after="240"/>
      </w:pPr>
      <w:r>
        <w:rPr>
          <w:rFonts w:ascii="Georgia" w:hAnsi="Georgia"/>
          <w:i/>
          <w:color w:val="505F55"/>
          <w:sz w:val="24"/>
        </w:rPr>
        <w:t>Former Royal Capital, Proximity to Sylhet Border, Tea Gardens, and Urban Infrastructure</w:t>
      </w:r>
    </w:p>
    <w:tbl>
      <w:tblPr>
        <w:tblW w:type="auto" w:w="0"/>
        <w:jc w:val="center"/>
        <w:tblLook w:firstColumn="1" w:firstRow="1" w:lastColumn="0" w:lastRow="0" w:noHBand="0" w:noVBand="1" w:val="04A0"/>
      </w:tblPr>
      <w:tblGrid>
        <w:gridCol w:w="4968"/>
        <w:gridCol w:w="4968"/>
      </w:tblGrid>
      <w:tr>
        <w:tc>
          <w:tcPr>
            <w:tcW w:type="dxa" w:w="2592"/>
            <w:shd w:fill="E8F2EC"/>
            <w:tcMar>
              <w:top w:w="60" w:type="dxa"/>
              <w:bottom w:w="60" w:type="dxa"/>
              <w:left w:w="100" w:type="dxa"/>
              <w:right w:w="100" w:type="dxa"/>
            </w:tcMar>
          </w:tcPr>
          <w:p>
            <w:pPr>
              <w:spacing w:after="0"/>
            </w:pPr>
            <w:r>
              <w:rPr>
                <w:b/>
                <w:color w:val="143C28"/>
                <w:sz w:val="19"/>
              </w:rPr>
              <w:t>Project:</w:t>
            </w:r>
          </w:p>
        </w:tc>
        <w:tc>
          <w:tcPr>
            <w:tcW w:type="dxa" w:w="7200"/>
            <w:shd w:fill="F5FAF7"/>
            <w:tcMar>
              <w:top w:w="60" w:type="dxa"/>
              <w:bottom w:w="60" w:type="dxa"/>
              <w:left w:w="100" w:type="dxa"/>
              <w:right w:w="100" w:type="dxa"/>
            </w:tcMar>
          </w:tcPr>
          <w:p>
            <w:pPr>
              <w:spacing w:after="0"/>
            </w:pPr>
            <w:r>
              <w:rPr>
                <w:color w:val="323232"/>
                <w:sz w:val="19"/>
              </w:rPr>
              <w:t>Antigravity Indian Cultural Heritage Knowledge Platform (Unakoti, Tripura)</w:t>
            </w:r>
          </w:p>
        </w:tc>
      </w:tr>
      <w:tr>
        <w:tc>
          <w:tcPr>
            <w:tcW w:type="dxa" w:w="2592"/>
            <w:shd w:fill="E8F2EC"/>
            <w:tcMar>
              <w:top w:w="60" w:type="dxa"/>
              <w:bottom w:w="60" w:type="dxa"/>
              <w:left w:w="100" w:type="dxa"/>
              <w:right w:w="100" w:type="dxa"/>
            </w:tcMar>
          </w:tcPr>
          <w:p>
            <w:pPr>
              <w:spacing w:after="0"/>
            </w:pPr>
            <w:r>
              <w:rPr>
                <w:b/>
                <w:color w:val="143C28"/>
                <w:sz w:val="19"/>
              </w:rPr>
              <w:t>Research Team:</w:t>
            </w:r>
          </w:p>
        </w:tc>
        <w:tc>
          <w:tcPr>
            <w:tcW w:type="dxa" w:w="7200"/>
            <w:shd w:fill="F5FAF7"/>
            <w:tcMar>
              <w:top w:w="60" w:type="dxa"/>
              <w:bottom w:w="60" w:type="dxa"/>
              <w:left w:w="100" w:type="dxa"/>
              <w:right w:w="100" w:type="dxa"/>
            </w:tcMar>
          </w:tcPr>
          <w:p>
            <w:pPr>
              <w:spacing w:after="0"/>
            </w:pPr>
            <w:r>
              <w:rPr>
                <w:color w:val="323232"/>
                <w:sz w:val="19"/>
              </w:rPr>
              <w:t>Historians, Epigraphists, Rock-Art Specialists, Indigenous Anthropologists, Conservationists</w:t>
            </w:r>
          </w:p>
        </w:tc>
      </w:tr>
      <w:tr>
        <w:tc>
          <w:tcPr>
            <w:tcW w:type="dxa" w:w="2592"/>
            <w:shd w:fill="E8F2EC"/>
            <w:tcMar>
              <w:top w:w="60" w:type="dxa"/>
              <w:bottom w:w="60" w:type="dxa"/>
              <w:left w:w="100" w:type="dxa"/>
              <w:right w:w="100" w:type="dxa"/>
            </w:tcMar>
          </w:tcPr>
          <w:p>
            <w:pPr>
              <w:spacing w:after="0"/>
            </w:pPr>
            <w:r>
              <w:rPr>
                <w:b/>
                <w:color w:val="143C28"/>
                <w:sz w:val="19"/>
              </w:rPr>
              <w:t>Source Hierarchy:</w:t>
            </w:r>
          </w:p>
        </w:tc>
        <w:tc>
          <w:tcPr>
            <w:tcW w:type="dxa" w:w="7200"/>
            <w:shd w:fill="F5FAF7"/>
            <w:tcMar>
              <w:top w:w="60" w:type="dxa"/>
              <w:bottom w:w="60" w:type="dxa"/>
              <w:left w:w="100" w:type="dxa"/>
              <w:right w:w="100" w:type="dxa"/>
            </w:tcMar>
          </w:tcPr>
          <w:p>
            <w:pPr>
              <w:spacing w:after="0"/>
            </w:pPr>
            <w:r>
              <w:rPr>
                <w:color w:val="323232"/>
                <w:sz w:val="19"/>
              </w:rPr>
              <w:t>Tier 1 (UNESCO Tentative Dossier, ASI, State Archaeology) &amp; Tier 2 (Academic Monographs)</w:t>
            </w:r>
          </w:p>
        </w:tc>
      </w:tr>
      <w:tr>
        <w:tc>
          <w:tcPr>
            <w:tcW w:type="dxa" w:w="2592"/>
            <w:shd w:fill="E8F2EC"/>
            <w:tcMar>
              <w:top w:w="60" w:type="dxa"/>
              <w:bottom w:w="60" w:type="dxa"/>
              <w:left w:w="100" w:type="dxa"/>
              <w:right w:w="100" w:type="dxa"/>
            </w:tcMar>
          </w:tcPr>
          <w:p>
            <w:pPr>
              <w:spacing w:after="0"/>
            </w:pPr>
            <w:r>
              <w:rPr>
                <w:b/>
                <w:color w:val="143C28"/>
                <w:sz w:val="19"/>
              </w:rPr>
              <w:t>Geographical Context:</w:t>
            </w:r>
          </w:p>
        </w:tc>
        <w:tc>
          <w:tcPr>
            <w:tcW w:type="dxa" w:w="7200"/>
            <w:shd w:fill="F5FAF7"/>
            <w:tcMar>
              <w:top w:w="60" w:type="dxa"/>
              <w:bottom w:w="60" w:type="dxa"/>
              <w:left w:w="100" w:type="dxa"/>
              <w:right w:w="100" w:type="dxa"/>
            </w:tcMar>
          </w:tcPr>
          <w:p>
            <w:pPr>
              <w:spacing w:after="0"/>
            </w:pPr>
            <w:r>
              <w:rPr>
                <w:color w:val="323232"/>
                <w:sz w:val="19"/>
              </w:rPr>
              <w:t>Unakoti Rock-Cut Site, Kailashahar Sub-Division, Unakoti District, Tripura (Northeast India)</w:t>
            </w:r>
          </w:p>
        </w:tc>
      </w:tr>
    </w:tbl>
    <w:p>
      <w:pPr>
        <w:spacing w:after="160"/>
      </w:pPr>
    </w:p>
    <w:p>
      <w:pPr>
        <w:keepNext/>
        <w:spacing w:before="280" w:after="80"/>
      </w:pPr>
      <w:r>
        <w:rPr>
          <w:rFonts w:ascii="Georgia" w:hAnsi="Georgia"/>
          <w:b/>
          <w:color w:val="194B37"/>
          <w:sz w:val="30"/>
        </w:rPr>
        <w:t>1. Kailashahar: The Gateway to Unakoti</w:t>
      </w:r>
    </w:p>
    <w:p>
      <w:pPr>
        <w:spacing w:after="100" w:line="276" w:lineRule="auto"/>
      </w:pPr>
      <w:r>
        <w:t>Kailashahar, located just 8 km northwest of Unakoti on the banks of the Manu River near the international border with Bangladesh, is one of Tripura's oldest towns and an ancient capital of the early Manikya rulers.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8278"/>
        <w:sz w:val="16"/>
      </w:rPr>
      <w:t>Confidential &amp; Academic Heritage Documentation — Document Ref: UNA-DOC-35 — Unakoti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506E5A"/>
        <w:sz w:val="17"/>
      </w:rPr>
      <w:t>UNAKOTI CULTURAL HERITAGE ENCYCLOPEDIA | TRIPURA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