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40: UNESCO WORLD HERITAGE TENTATIVE STATUS &amp; OUV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UNESCO Tentative Inscription (2022), Criteria (i), (ii), (iv), and Outstanding Universal Value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UNESCO World Heritage Tentative List (Ref: 6627)</w:t>
      </w:r>
    </w:p>
    <w:p>
      <w:pPr>
        <w:spacing w:after="100" w:line="276" w:lineRule="auto"/>
      </w:pPr>
      <w:r>
        <w:t>On 20 December 2022, the Permanent Delegation of India to UNESCO successfully inscribed the 'Rock-cut Relief Sculptures of Unakoti, Unakoti Range' onto the official UNESCO World Heritage Tentative 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[UNESCO NOMINATION DOSSIER]</w:t>
              <w:br/>
            </w:r>
            <w:r>
              <w:rPr>
                <w:color w:val="28372D"/>
                <w:sz w:val="20"/>
              </w:rPr>
              <w:t>PROPOSED UNESCO CRITERIA &amp; OUV STATEMENT:</w:t>
              <w:br/>
              <w:t>• Criterion (i): A masterpiece of human creative genius (exhibited in the colossal 30-foot Unakotishwara Kal Bhairava relief and the intricate multi-armed Ganesha group).</w:t>
              <w:br/>
              <w:t>• Criterion (ii): An exceptional interchange of human values, illustrating the harmonious synthesis between classical Sanskrit Agamic Shaivism and regional indigenous tribal artistic traditions.</w:t>
              <w:br/>
              <w:t>• Criterion (iv): An outstanding example of an open-air stream-integrated rock sanctuary set within an intact subtropical rainforest ecosystem.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UNA-DOC-40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