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41: ASI CENTRALLY PROTECTED MONUMENT GOVERNANCE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AMASR Act Statutory Mandate, 100m Prohibited Zones, and Heritage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Statutory Legal Protection</w:t>
      </w:r>
    </w:p>
    <w:p>
      <w:pPr>
        <w:spacing w:after="100" w:line="276" w:lineRule="auto"/>
      </w:pPr>
      <w:r>
        <w:t>Unakoti is a Centrally Protected Monument under the Ancient Monuments and Archaeological Sites and Remains (AMASR) Act, 1958. A 100-meter prohibited perimeter strictly bars any construction, commercial quarrying, or earth-moving.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UNA-DOC-41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