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43: THREATS, VULNERABILITIES &amp; HERITAGE CHALLENGES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Sandstone Weathering, 2,500mm Monsoon Rainfall, Biocolonization, and Landslides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Threat Matrix Assessment</w:t>
      </w:r>
    </w:p>
    <w:p>
      <w:pPr>
        <w:spacing w:after="100" w:line="276" w:lineRule="auto"/>
      </w:pPr>
      <w:r>
        <w:t>The soft sedimentary sandstone faces extreme natural threats: thermal expansion, root penetration from aggressive wild vegetation, acid rain, and sudden mudslides during the monsoon season.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UNA-DOC-43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