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44: MODERN UNAKOTI, INFRASTRUCTURE &amp; PRASHAD SCHEME</w:t>
      </w:r>
    </w:p>
    <w:p>
      <w:pPr>
        <w:spacing w:before="0" w:after="240"/>
      </w:pPr>
      <w:r>
        <w:rPr>
          <w:rFonts w:ascii="Georgia" w:hAnsi="Georgia"/>
          <w:i/>
          <w:color w:val="505F55"/>
          <w:sz w:val="24"/>
        </w:rPr>
        <w:t>PRASHAD Scheme Funding, Eco-Tourism Pathways, Solar Lighting, and Digital Interpretation</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Modern Infrastructure Development</w:t>
      </w:r>
    </w:p>
    <w:p>
      <w:pPr>
        <w:spacing w:after="100" w:line="276" w:lineRule="auto"/>
      </w:pPr>
      <w:r>
        <w:t>Under the Government of India's PRASHAD scheme (Pilgrimage Rejuvenation and Spiritual, Heritage Augmentation Drive) and Swadesh Darshan, Unakoti has received extensive infrastructure upgrades including paved stone walkways, solar street lamps, cafeterias, and clean tourist amenities.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UNA-DOC-44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