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94B37"/>
          <w:sz w:val="42"/>
        </w:rPr>
        <w:t>48: CULTURAL ECONOMY &amp; TOURISM IMPACT ANALYSIS</w:t>
      </w:r>
    </w:p>
    <w:p>
      <w:pPr>
        <w:spacing w:before="0" w:after="240"/>
      </w:pPr>
      <w:r>
        <w:rPr>
          <w:rFonts w:ascii="Georgia" w:hAnsi="Georgia"/>
          <w:i/>
          <w:color w:val="505F55"/>
          <w:sz w:val="24"/>
        </w:rPr>
        <w:t>Rural Livelihoods, Ashokastami Fair Commerce, Handloom Cooperatives, and Sustainable Tourism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Project: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Antigravity Indian Cultural Heritage Knowledge Platform (Unakoti, Tripura)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Research Team: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Historians, Epigraphists, Rock-Art Specialists, Indigenous Anthropologists, Conservationists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Source Hierarchy: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Tier 1 (UNESCO Tentative Dossier, ASI, State Archaeology) &amp; Tier 2 (Academic Monographs)</w:t>
            </w:r>
          </w:p>
        </w:tc>
      </w:tr>
      <w:tr>
        <w:tc>
          <w:tcPr>
            <w:tcW w:type="dxa" w:w="2592"/>
            <w:shd w:fill="E8F2E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43C28"/>
                <w:sz w:val="19"/>
              </w:rPr>
              <w:t>Geographical Context:</w:t>
            </w:r>
          </w:p>
        </w:tc>
        <w:tc>
          <w:tcPr>
            <w:tcW w:type="dxa" w:w="7200"/>
            <w:shd w:fill="F5FAF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color w:val="323232"/>
                <w:sz w:val="19"/>
              </w:rPr>
              <w:t>Unakoti Rock-Cut Site, Kailashahar Sub-Division, Unakoti District, Tripura (Northeast India)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rFonts w:ascii="Georgia" w:hAnsi="Georgia"/>
          <w:b/>
          <w:color w:val="194B37"/>
          <w:sz w:val="30"/>
        </w:rPr>
        <w:t>1. Socio-Economic Impact of Pilgrimage &amp; Heritage</w:t>
      </w:r>
    </w:p>
    <w:p>
      <w:pPr>
        <w:spacing w:after="100" w:line="276" w:lineRule="auto"/>
      </w:pPr>
      <w:r>
        <w:t>Tourism and the annual Ashokastami fair inject vital economic capital into the rural economy of Kailashahar and Kumarghat, supporting hundreds of local auto drivers, homestay operators, indigenous weavers, and agro-artisans.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eorgia" w:hAnsi="Georgia"/>
        <w:color w:val="788278"/>
        <w:sz w:val="16"/>
      </w:rPr>
      <w:t>Confidential &amp; Academic Heritage Documentation — Document Ref: UNA-DOC-48 — Unakoti Heritage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color w:val="506E5A"/>
        <w:sz w:val="17"/>
      </w:rPr>
      <w:t>UNAKOTI CULTURAL HERITAGE ENCYCLOPEDIA | TRIPURA RESEARCH REPOSITORY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