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59: GAMIFICATION DATA &amp; INTERACTIVE CHALLENGES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Educational Game Mechanics, Heritage Hunts, Badges, Point Systems, and Learning Quests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Educational Gamification Framework</w:t>
      </w:r>
    </w:p>
    <w:p>
      <w:pPr>
        <w:spacing w:after="100" w:line="276" w:lineRule="auto"/>
      </w:pPr>
      <w:r>
        <w:t>Designed for interactive digital exploration, these 10 gamified quests promote cultural learning without trivializing sacred archaeological heritage.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Challenge Title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Learning Objective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Game Mechanic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 Awarded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Entity Set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 Detective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Identify rock-cut carvings by iconographic attributes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Visual feature matching on 3D rock face models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Master Shilpi of Unakoti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Kal Bhairava, Sarbhuja Ganesha, Nandi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 vs History Arbiter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Distinguish archaeological facts from folklore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 swipe cards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Guardian of Truth and History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Curse on 1 crore gods, Kalu Kamar, Surma sandstone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Explorer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Navigate the gorge and stream on interactive GIS map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Spatial puzzle solving with geolocated clues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Grand Rainforest Explorer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Sitaram Chhara, Brahmakunda, Upper Shrines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Guardian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Learn modern sandstone preservation techniques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Resource allocation to combat rain erosion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Heritage Defender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Biocidal wash, ethyl silicate, water drainage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Pilgrim Trail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Follow the historic rituals of the spring pilgrimage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Ritual step sequencing and sacred geography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Tirtha Yatri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Asthami Snana, bilva offerings, mela crafts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GAM-006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Indigenous Lore Keeper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Explore the Tripuri mythology of God Subrai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Oral narrative branch exploration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Elder Chronicler of Borok 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Subrai Khung, Chantai priesthood, sacred Than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