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63: RESEARCH GAPS, MISSING DATA &amp; UNEXPLORED AREAS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Absence of Epigraphic Inscriptions, Unexcavated Forest Terraces, and Scientific Dating Needs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Critical Research Gaps in Unakoti Studies</w:t>
      </w:r>
    </w:p>
    <w:p>
      <w:pPr>
        <w:spacing w:after="100" w:line="276" w:lineRule="auto"/>
      </w:pPr>
      <w:r>
        <w:t>1. Absence of Foundational Epigraphs: No dedicatory stone inscriptions have yet been discovered at the site, leaving dynastic patronage dependent on comparative art history.</w:t>
        <w:br/>
        <w:t>2. Unexplored Forest Terraces: Dense jungle cover on higher ridges of the Raghunandan Range may conceal unrecorded rock reliefs and ancient rock-cut staircases.</w:t>
        <w:br/>
        <w:t>3. Optically Stimulated Luminescence (OSL) Dating: Scientific OSL and carbon dating of brick foundations on upper terraces are required to establish absolute chronologies.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UNA-DOC-63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