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64: FIELD RESEARCH &amp; INTERVIEW PLAN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Structured Fieldwork Methodology, Stakeholder Questionnaires, and Multidisciplinary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Multidisciplinary Field Research Protocols</w:t>
      </w:r>
    </w:p>
    <w:p>
      <w:pPr>
        <w:spacing w:after="100" w:line="276" w:lineRule="auto"/>
      </w:pPr>
      <w:r>
        <w:t>Structured questionnaires for upcoming field expeditions to Unakoti:</w:t>
      </w:r>
    </w:p>
    <w:p>
      <w:pPr>
        <w:spacing w:after="100" w:line="276" w:lineRule="auto"/>
      </w:pPr>
      <w:r>
        <w:t>• For ASI Conservation Specialists: What are the annual surface weathering rates on the Kal Bhairava relief? What are the chemical consolidation schedules for 2026–2027?</w:t>
        <w:br/>
        <w:t>• For Traditional Indigenous Ochai Priests: What oral hagiographies of Subrai survive in village memory? How are seasonal harvest offerings synchronized with Ashokastami?</w:t>
        <w:br/>
        <w:t>• For Local Handloom Risa Weavers: How has GI registration affected artisan household income in Kailashahar cooperatives?</w:t>
        <w:br/>
        <w:t>• For Tourism &amp; District Authorities: What crowd management and environmental waste mitigation systems are deployed during the 3-day Ashokastami Mela?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UNA-DOC-64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