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65: UNAKOTI MASTER RESEARCH COMPENDIUM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The Comprehensive Multidisciplinary Encyclopedia of Unakoti Heritage (Parts 1 to 33)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Part 1 — Executive Summary</w:t>
      </w:r>
    </w:p>
    <w:p>
      <w:pPr>
        <w:spacing w:after="100" w:line="276" w:lineRule="auto"/>
      </w:pPr>
      <w:r>
        <w:t>This Master Compendium represents the definitive, multidisciplinary cultural heritage encyclopedia of Unakoti (Subrai Khung), Tripura, India—an extraordinary 8th–12th century Shaivite rock-cut sanctuary and UNESCO World Heritage Tentative Site. Spanning a verdant subtropical stream gorge in the Raghunandan Hills, Unakoti preserves monumental rock reliefs, including the colossal 30-foot head of Unakotishwara Kal Bhairava, multi-armed Ganeshas, and detached sculptures. This compendium integrates rigorous archaeological documentation, art-historical analysis, indigenous anthropology, and digital knowledge base schemas.</w:t>
      </w: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Part 2 — What Makes Unakoti Unique?</w:t>
      </w:r>
    </w:p>
    <w:p>
      <w:pPr>
        <w:spacing w:after="100" w:line="276" w:lineRule="auto"/>
      </w:pPr>
      <w:r>
        <w:t>1. Colossal Rock-Art Scale: The 30-foot Unakotishwara Kal Bhairava is among the largest single bas-relief rock carvings in India.</w:t>
        <w:br/>
        <w:t>2. Folk-Classical Stylistic Synthesis: A unique fusion of classical Brahmanical Agamic iconography with indigenous Tibeto-Burman / Tripuri tribal artistic idioms.</w:t>
        <w:br/>
        <w:t>3. Open-Air Stream Integration: Natural incorporation of the Sitaram Chhara stream performing continuous natural water ablution (Jalabhisheka).</w:t>
        <w:br/>
        <w:t>4. Living Intangible Pilgrimage: The annual Ashokastami Mela uniting over 100,000 tribal and non-tribal pilgrims in sacred ritual harmony.</w:t>
        <w:br/>
        <w:t>5. Intact Rainforest Landscape: Sublime preservation within dense bamboo groves and forest canopies supporting rare biodiversity.</w:t>
      </w: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Part 3 — Geographic Context &amp; Subtropical Setting</w:t>
      </w:r>
    </w:p>
    <w:p>
      <w:pPr>
        <w:spacing w:after="100" w:line="276" w:lineRule="auto"/>
      </w:pPr>
      <w:r>
        <w:t>Located at 24° 19' N, 92° 03' E in Unakoti District, Tripura, 8 km from Kailashahar, the site rests within the Miocene Surma Group sedimentary sandstones in the Raghunandan Range, characterized by heavy monsoon precipitation (2,500 mm/year) and lush rainforest vegetation.</w:t>
      </w: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Part 4 — Master Chronological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Era / Date</w:t>
            </w:r>
          </w:p>
        </w:tc>
        <w:tc>
          <w:tcPr>
            <w:tcW w:type="dxa" w:w="403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Milestone</w:t>
            </w:r>
          </w:p>
        </w:tc>
        <w:tc>
          <w:tcPr>
            <w:tcW w:type="dxa" w:w="360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Epistemic Context &amp; Sources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c. 8th–9th c. CE</w:t>
            </w:r>
          </w:p>
        </w:tc>
        <w:tc>
          <w:tcPr>
            <w:tcW w:type="dxa" w:w="403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Phase I: Carving of central Kal Bhairava &amp; Ganesha reliefs</w:t>
            </w:r>
          </w:p>
        </w:tc>
        <w:tc>
          <w:tcPr>
            <w:tcW w:type="dxa" w:w="360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stylistic dating; Early Medieval Shaivism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c. 11th–12th c. CE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Phase II: Detached Vishnu, Narasimha icons &amp; upper brick shrines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Pal-Sena mature artistic horizon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15th–16th c. CE</w:t>
            </w:r>
          </w:p>
        </w:tc>
        <w:tc>
          <w:tcPr>
            <w:tcW w:type="dxa" w:w="403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Manikya kings patronize regional Shaivite shrines</w:t>
            </w:r>
          </w:p>
        </w:tc>
        <w:tc>
          <w:tcPr>
            <w:tcW w:type="dxa" w:w="360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Rajmala chronicles; Kailashahar royal grants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1972 CE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declares Unakoti a Centrally Protected Monument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AMASR Act 1958 Gazette Notification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2012 CE (Jan 21)</w:t>
            </w:r>
          </w:p>
        </w:tc>
        <w:tc>
          <w:tcPr>
            <w:tcW w:type="dxa" w:w="403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Creation of Unakoti District with Kailashahar as HQ</w:t>
            </w:r>
          </w:p>
        </w:tc>
        <w:tc>
          <w:tcPr>
            <w:tcW w:type="dxa" w:w="360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Government of Tripura official notification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2022 CE (Dec 20)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Inscribed on UNESCO World Heritage Tentative List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UNESCO Tentative Ref: 6627 dossier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Part 5 to 7 — Archaeology, Rock Reliefs &amp; Iconography</w:t>
      </w:r>
    </w:p>
    <w:p>
      <w:pPr>
        <w:spacing w:after="100" w:line="276" w:lineRule="auto"/>
      </w:pPr>
      <w:r>
        <w:t>The sanctuary features the colossal 30-foot Unakotishwara Kal Bhairava head with a 10-foot embroidered mukuta crown, third eye, and prominent mustache, flanked by Goddess Ganga on a Makara and Goddess Durga. Downstream lies the master Ganesha group, featuring a colossal seated Ganesha and an extraordinary eight-armed Sarbhuja Ganesha with three tusks. Detached sandstone icons include standing Vishnu images, Ugra Narasimha, and Chaturmukha Shiva Lingas.</w:t>
      </w: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Part 8 to 11 — Shaivism, Ashokastami &amp; Foundational Legends</w:t>
      </w:r>
    </w:p>
    <w:p>
      <w:pPr>
        <w:spacing w:after="100" w:line="276" w:lineRule="auto"/>
      </w:pPr>
      <w:r>
        <w:t>• Shaivite Syncretism: Blends Pashupata Tantric Shaivism with the indigenous Tripuri cult of 'Subrai'.</w:t>
        <w:br/>
        <w:t>• Ashokastami Mela: Annual spring festival on Chaitra Shukla Ashtami where 100,000+ devotees perform the Asthami Snana in Brahmakunda pool.</w:t>
        <w:br/>
        <w:t>• The One Crore Legend: Shiva cursing 99,99,999 sleeping deities to stone, and the artisan Kalu Kamar attempting to sculpt 1 crore statues overnight.</w:t>
      </w: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Part 12 to 19 — Communities, Tribal Heritage, Cuisine &amp; Handlooms</w:t>
      </w:r>
    </w:p>
    <w:p>
      <w:pPr>
        <w:spacing w:after="100" w:line="276" w:lineRule="auto"/>
      </w:pPr>
      <w:r>
        <w:t>• Indigenous Peoples: Tripuri, Reang (Bru), Jamatia, Chakma, and Bengali communities living in harmony.</w:t>
        <w:br/>
        <w:t>• Traditional Costumes: The GI-tagged Risa handwoven ceremonial chest-wrap with geometric diamond motifs, paired with Rignai and Rikutu.</w:t>
        <w:br/>
        <w:t>• Gastronomic Heritage: Traditional oil-free dishes including Gudok (bamboo-cooked vegetables with fermented fish Berma), Muya Awandru, and Queen Pineapple.</w:t>
        <w:br/>
        <w:t>• Master Crafts &amp; Dance: Muli bamboo weaving, cane furniture, and the Reang Hojagiri acrobatic balance dance.</w:t>
      </w: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Part 20 to 28 — Environment, UNESCO, Conservation &amp; Modern Tourism</w:t>
      </w:r>
    </w:p>
    <w:p>
      <w:pPr>
        <w:spacing w:after="100" w:line="276" w:lineRule="auto"/>
      </w:pPr>
      <w:r>
        <w:t>• UNESCO &amp; ASI Governance: Inscribed on UNESCO Tentative List (2022); centrally protected by ASI under the AMASR Act with 100m prohibited perimeter.</w:t>
        <w:br/>
        <w:t>• Scientific Preservation: Biocidal chemical treatments to combat moss/lichen growth and drainage culverts diverting torrential monsoon runoff.</w:t>
        <w:br/>
        <w:t>• Tourism &amp; PRASHAD Upgrades: Paved stone pathways, solar illumination, and sustainable community tourism.</w:t>
      </w: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Part 29 to 33 — Digital Knowledge Systems, Knowledge Graph &amp; Bibliography</w:t>
      </w:r>
    </w:p>
    <w:p>
      <w:pPr>
        <w:spacing w:after="100" w:line="276" w:lineRule="auto"/>
      </w:pPr>
      <w:r>
        <w:t>• AI Conversational Knowledge Base: 150 structured Q&amp;A pairs covering all thematic domains.</w:t>
        <w:br/>
        <w:t>• Quizzes &amp; Gamification: 150 multi-tier evaluation questions and 10 interactive learning quests.</w:t>
        <w:br/>
        <w:t>• Knowledge Graph: Formal semantic triples linking deities, reliefs, streams, festivals, and communities.</w:t>
        <w:br/>
        <w:t>• Master Epistemic Bibliography: Grounded in Tier-1 official dossiers (UNESCO, ASI, State Archaeology) and Tier-2 academic monographs (Dr. Debala Mitra).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UNA-DOC-65-MASTER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