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CellMar>
          <w:top w:w="200" w:type="dxa"/>
          <w:left w:w="90" w:type="dxa"/>
          <w:bottom w:w="200" w:type="dxa"/>
          <w:right w:w="90" w:type="dxa"/>
        </w:tblCellMar>
      </w:tblPr>
      <w:tblGrid>
        <w:gridCol w:w="9638"/>
      </w:tblGrid>
      <w:tr>
        <w:tc>
          <w:tcPr>
            <w:tcW w:type="dxa" w:w="9638"/>
            <w:shd w:val="clear" w:color="auto" w:fill="4F2D7F"/>
          </w:tcPr>
          <w:p>
            <w:pPr>
              <w:spacing w:before="360"/>
            </w:pPr>
            <w:r/>
            <w:r>
              <w:rPr>
                <w:b/>
                <w:color w:val="FFFFFF"/>
                <w:sz w:val="56"/>
              </w:rPr>
              <w:t>GT AI Risk Assessment Framework</w:t>
            </w:r>
          </w:p>
          <w:p>
            <w:r>
              <w:rPr>
                <w:color w:val="E8E0F3"/>
                <w:sz w:val="26"/>
              </w:rPr>
              <w:t>Methodology for identifying, assessing, treating and monitoring risks across the AI lifecycle</w:t>
            </w:r>
          </w:p>
          <w:p>
            <w:pPr>
              <w:spacing w:after="360"/>
            </w:pPr>
            <w:r>
              <w:rPr>
                <w:color w:val="FFFFFF"/>
                <w:sz w:val="19"/>
              </w:rPr>
              <w:t>Aligned to ISO/IEC 23894  |  ISO/IEC 42001  |  ISO/IEC 42005  |  NIST AI RMF &amp; AI 600-1  |  EU AI Act  |  Bahrain PDPL &amp; iGA AI Policy  |  NSW AIAF</w:t>
            </w:r>
          </w:p>
        </w:tc>
      </w:tr>
    </w:tbl>
    <w:p/>
    <w:p/>
    <w:p>
      <w:r>
        <w:rPr>
          <w:b/>
          <w:i w:val="0"/>
          <w:color w:val="4F2D7F"/>
          <w:sz w:val="24"/>
        </w:rPr>
        <w:t>Grant Thornton Bahrain  |  AI Governance, Risk &amp; Compliance Service Line</w:t>
      </w:r>
    </w:p>
    <w:p>
      <w:r>
        <w:rPr>
          <w:b w:val="0"/>
          <w:i w:val="0"/>
          <w:sz w:val="21"/>
        </w:rPr>
        <w:t>Version 1.1  |  September 2026</w:t>
      </w:r>
    </w:p>
    <w:p>
      <w:r>
        <w:rPr>
          <w:b w:val="0"/>
          <w:i/>
          <w:sz w:val="19"/>
        </w:rPr>
        <w:t>Classification: Internal / Client-ready methodology</w:t>
      </w:r>
    </w:p>
    <w:p/>
    <w:p/>
    <w:p/>
    <w:p/>
    <w:p/>
    <w:p/>
    <w:p/>
    <w:p/>
    <w:p/>
    <w:p/>
    <w:p>
      <w:r>
        <w:rPr>
          <w:b w:val="0"/>
          <w:i/>
          <w:color w:val="595959"/>
          <w:sz w:val="17"/>
        </w:rPr>
        <w:t>This framework is a Grant Thornton Bahrain methodology document. It is intended to be tailored to each client's context, risk appetite and regulatory obligations. It does not constitute legal advice.</w:t>
      </w:r>
    </w:p>
    <w:p>
      <w:r>
        <w:br w:type="page"/>
      </w:r>
    </w:p>
    <w:p>
      <w:pPr>
        <w:pStyle w:val="Heading1"/>
      </w:pPr>
      <w:r>
        <w:t>Document control</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268"/>
        <w:gridCol w:w="7370"/>
      </w:tblGrid>
      <w:tr>
        <w:trPr>
          <w:tblHeader w:val="true"/>
        </w:trPr>
        <w:tc>
          <w:tcPr>
            <w:tcW w:type="dxa" w:w="2268"/>
            <w:shd w:val="clear" w:color="auto" w:fill="4F2D7F"/>
            <w:vAlign w:val="center"/>
          </w:tcPr>
          <w:p>
            <w:r/>
            <w:r>
              <w:rPr>
                <w:b/>
                <w:color w:val="FFFFFF"/>
                <w:sz w:val="17"/>
              </w:rPr>
              <w:t>Item</w:t>
            </w:r>
          </w:p>
        </w:tc>
        <w:tc>
          <w:tcPr>
            <w:tcW w:type="dxa" w:w="7370"/>
            <w:shd w:val="clear" w:color="auto" w:fill="4F2D7F"/>
            <w:vAlign w:val="center"/>
          </w:tcPr>
          <w:p>
            <w:r/>
            <w:r>
              <w:rPr>
                <w:b/>
                <w:color w:val="FFFFFF"/>
                <w:sz w:val="17"/>
              </w:rPr>
              <w:t>Detail</w:t>
            </w:r>
          </w:p>
        </w:tc>
      </w:tr>
      <w:tr>
        <w:tc>
          <w:tcPr>
            <w:tcW w:type="dxa" w:w="2268"/>
          </w:tcPr>
          <w:p>
            <w:pPr>
              <w:spacing w:after="20"/>
            </w:pPr>
            <w:r/>
            <w:r>
              <w:rPr>
                <w:b/>
                <w:sz w:val="17"/>
              </w:rPr>
              <w:t>Document</w:t>
            </w:r>
          </w:p>
        </w:tc>
        <w:tc>
          <w:tcPr>
            <w:tcW w:type="dxa" w:w="7370"/>
          </w:tcPr>
          <w:p>
            <w:pPr>
              <w:spacing w:after="20"/>
            </w:pPr>
            <w:r/>
            <w:r>
              <w:rPr>
                <w:sz w:val="17"/>
              </w:rPr>
              <w:t>GT AI Risk Assessment Framework</w:t>
            </w:r>
          </w:p>
        </w:tc>
      </w:tr>
      <w:tr>
        <w:tc>
          <w:tcPr>
            <w:tcW w:type="dxa" w:w="2268"/>
            <w:shd w:val="clear" w:color="auto" w:fill="F7F4FB"/>
          </w:tcPr>
          <w:p>
            <w:pPr>
              <w:spacing w:after="20"/>
            </w:pPr>
            <w:r/>
            <w:r>
              <w:rPr>
                <w:b/>
                <w:sz w:val="17"/>
              </w:rPr>
              <w:t>Version</w:t>
            </w:r>
          </w:p>
        </w:tc>
        <w:tc>
          <w:tcPr>
            <w:tcW w:type="dxa" w:w="7370"/>
            <w:shd w:val="clear" w:color="auto" w:fill="F7F4FB"/>
          </w:tcPr>
          <w:p>
            <w:pPr>
              <w:spacing w:after="20"/>
            </w:pPr>
            <w:r/>
            <w:r>
              <w:rPr>
                <w:sz w:val="17"/>
              </w:rPr>
              <w:t>1.1 - adds agentic-AI security (ISACA 2026), ISO/IEC 42001 checks, AI security audit checklist integration and data classification for AI (v1.0: 24 Sept 2026)</w:t>
            </w:r>
          </w:p>
        </w:tc>
      </w:tr>
      <w:tr>
        <w:tc>
          <w:tcPr>
            <w:tcW w:type="dxa" w:w="2268"/>
          </w:tcPr>
          <w:p>
            <w:pPr>
              <w:spacing w:after="20"/>
            </w:pPr>
            <w:r/>
            <w:r>
              <w:rPr>
                <w:b/>
                <w:sz w:val="17"/>
              </w:rPr>
              <w:t>Date</w:t>
            </w:r>
          </w:p>
        </w:tc>
        <w:tc>
          <w:tcPr>
            <w:tcW w:type="dxa" w:w="7370"/>
          </w:tcPr>
          <w:p>
            <w:pPr>
              <w:spacing w:after="20"/>
            </w:pPr>
            <w:r/>
            <w:r>
              <w:rPr>
                <w:sz w:val="17"/>
              </w:rPr>
              <w:t>26 September 2026</w:t>
            </w:r>
          </w:p>
        </w:tc>
      </w:tr>
      <w:tr>
        <w:tc>
          <w:tcPr>
            <w:tcW w:type="dxa" w:w="2268"/>
            <w:shd w:val="clear" w:color="auto" w:fill="F7F4FB"/>
          </w:tcPr>
          <w:p>
            <w:pPr>
              <w:spacing w:after="20"/>
            </w:pPr>
            <w:r/>
            <w:r>
              <w:rPr>
                <w:b/>
                <w:sz w:val="17"/>
              </w:rPr>
              <w:t>Owner</w:t>
            </w:r>
          </w:p>
        </w:tc>
        <w:tc>
          <w:tcPr>
            <w:tcW w:type="dxa" w:w="7370"/>
            <w:shd w:val="clear" w:color="auto" w:fill="F7F4FB"/>
          </w:tcPr>
          <w:p>
            <w:pPr>
              <w:spacing w:after="20"/>
            </w:pPr>
            <w:r/>
            <w:r>
              <w:rPr>
                <w:sz w:val="17"/>
              </w:rPr>
              <w:t>Grant Thornton Bahrain - AI GRC Service Line</w:t>
            </w:r>
          </w:p>
        </w:tc>
      </w:tr>
      <w:tr>
        <w:tc>
          <w:tcPr>
            <w:tcW w:type="dxa" w:w="2268"/>
          </w:tcPr>
          <w:p>
            <w:pPr>
              <w:spacing w:after="20"/>
            </w:pPr>
            <w:r/>
            <w:r>
              <w:rPr>
                <w:b/>
                <w:sz w:val="17"/>
              </w:rPr>
              <w:t>Companion artefacts</w:t>
            </w:r>
          </w:p>
        </w:tc>
        <w:tc>
          <w:tcPr>
            <w:tcW w:type="dxa" w:w="7370"/>
          </w:tcPr>
          <w:p>
            <w:pPr>
              <w:spacing w:after="20"/>
            </w:pPr>
            <w:r/>
            <w:r>
              <w:rPr>
                <w:sz w:val="17"/>
              </w:rPr>
              <w:t>GT AI Risk Assessment Toolkit (Excel) - template and worked example</w:t>
            </w:r>
          </w:p>
          <w:p>
            <w:pPr>
              <w:spacing w:after="20"/>
            </w:pPr>
            <w:r>
              <w:rPr>
                <w:sz w:val="17"/>
              </w:rPr>
              <w:t>GT AI RCM v2.1 (2026) - control library referenced by this framework</w:t>
            </w:r>
          </w:p>
          <w:p>
            <w:pPr>
              <w:spacing w:after="20"/>
            </w:pPr>
            <w:r>
              <w:rPr>
                <w:sz w:val="17"/>
              </w:rPr>
              <w:t>GT AI Security &amp; Agent Audit Checklist v2.0 - item-level security audit programme</w:t>
            </w:r>
          </w:p>
          <w:p>
            <w:pPr>
              <w:spacing w:after="20"/>
            </w:pPr>
            <w:r>
              <w:rPr>
                <w:sz w:val="17"/>
              </w:rPr>
              <w:t>GT AI Readiness Assessment Tool - organisation-level readiness</w:t>
            </w:r>
          </w:p>
        </w:tc>
      </w:tr>
      <w:tr>
        <w:tc>
          <w:tcPr>
            <w:tcW w:type="dxa" w:w="2268"/>
            <w:shd w:val="clear" w:color="auto" w:fill="F7F4FB"/>
          </w:tcPr>
          <w:p>
            <w:pPr>
              <w:spacing w:after="20"/>
            </w:pPr>
            <w:r/>
            <w:r>
              <w:rPr>
                <w:b/>
                <w:sz w:val="17"/>
              </w:rPr>
              <w:t>Review cycle</w:t>
            </w:r>
          </w:p>
        </w:tc>
        <w:tc>
          <w:tcPr>
            <w:tcW w:type="dxa" w:w="7370"/>
            <w:shd w:val="clear" w:color="auto" w:fill="F7F4FB"/>
          </w:tcPr>
          <w:p>
            <w:pPr>
              <w:spacing w:after="20"/>
            </w:pPr>
            <w:r/>
            <w:r>
              <w:rPr>
                <w:sz w:val="17"/>
              </w:rPr>
              <w:t>Annually, or earlier on material regulatory change (e.g., EU AI Act Digital Omnibus outcome, Bahrain AI law enactment)</w:t>
            </w:r>
          </w:p>
        </w:tc>
      </w:tr>
    </w:tbl>
    <w:p>
      <w:pPr>
        <w:spacing w:after="40"/>
      </w:pPr>
    </w:p>
    <w:p>
      <w:pPr>
        <w:pStyle w:val="Heading1"/>
      </w:pPr>
      <w:r>
        <w:t>Contents</w:t>
      </w:r>
    </w:p>
    <w:p>
      <w:r>
        <w:fldChar w:fldCharType="begin"/>
      </w:r>
      <w:r>
        <w:instrText xml:space="preserve">TOC \o "1-2" \h \z \u</w:instrText>
      </w:r>
      <w:r>
        <w:fldChar w:fldCharType="separate"/>
      </w:r>
      <w:r>
        <w:t>Right-click and select 'Update Field' to build the table of contents.</w:t>
      </w:r>
      <w:r>
        <w:fldChar w:fldCharType="end"/>
      </w:r>
    </w:p>
    <w:p>
      <w:r>
        <w:br w:type="page"/>
      </w:r>
    </w:p>
    <w:p>
      <w:pPr>
        <w:pStyle w:val="Heading1"/>
      </w:pPr>
      <w:r>
        <w:t>1. Executive summary</w:t>
      </w:r>
    </w:p>
    <w:p>
      <w:r>
        <w:rPr>
          <w:b w:val="0"/>
          <w:i w:val="0"/>
        </w:rPr>
        <w:t>Artificial intelligence introduces risks that conventional IT, model or operational risk frameworks do not fully capture: probabilistic and opaque behaviour, dependence on data and foundation-model providers, new attack surfaces such as prompt injection, impacts on individuals' rights, and fast-moving regulation such as the EU AI Act and the region's emerging AI policies. Organisations in Bahrain are adopting AI quickly - the national General Policy for the Use of AI (iGA, 2025) and Bahrain Economic Vision 2030 actively encourage it - but most do not yet have a structured, repeatable way to decide which AI uses are acceptable and under what conditions.</w:t>
      </w:r>
    </w:p>
    <w:p>
      <w:r>
        <w:rPr>
          <w:b w:val="0"/>
          <w:i w:val="0"/>
        </w:rPr>
        <w:t>The GT AI Risk Assessment Framework (GT-AIRAF) provides that method. It combines the ISO 31000 / ISO/IEC 23894 risk-management process with AI-specific practices from NIST AI RMF, ISO/IEC 42005 impact assessment, the EU AI Act risk-based classification and the tiered self-assessment model of the NSW AI Assessment Framework. Its key features are:</w:t>
      </w:r>
    </w:p>
    <w:p>
      <w:pPr>
        <w:pStyle w:val="ListBullet"/>
        <w:spacing w:after="40"/>
      </w:pPr>
      <w:r>
        <w:rPr>
          <w:b/>
        </w:rPr>
        <w:t xml:space="preserve">Proportionality by design - </w:t>
      </w:r>
      <w:r>
        <w:t>a 10-factor inherent-risk tiering (Low / Medium / High / Critical) determines assessment depth, approval authority and review frequency, so low-risk productivity uses are not slowed down while high-impact systems receive rigorous scrutiny.</w:t>
      </w:r>
    </w:p>
    <w:p>
      <w:pPr>
        <w:pStyle w:val="ListBullet"/>
        <w:spacing w:after="40"/>
      </w:pPr>
      <w:r>
        <w:rPr>
          <w:b/>
        </w:rPr>
        <w:t xml:space="preserve">A comprehensive AI risk taxonomy - </w:t>
      </w:r>
      <w:r>
        <w:t>52 risks in 12 categories, spanning governance, legal, fairness, privacy, data, performance, transparency, security, human oversight, third-party, operational and societal risks, including emerging agentic-AI and AI-enabled threat risks.</w:t>
      </w:r>
    </w:p>
    <w:p>
      <w:pPr>
        <w:pStyle w:val="ListBullet"/>
        <w:spacing w:after="40"/>
      </w:pPr>
      <w:r>
        <w:rPr>
          <w:b/>
        </w:rPr>
        <w:t xml:space="preserve">Multi-dimensional impact assessment - </w:t>
      </w:r>
      <w:r>
        <w:t>impacts on individuals and rights are assessed alongside financial, regulatory, operational, reputational and safety/societal impacts, on a common 5x5 scale.</w:t>
      </w:r>
    </w:p>
    <w:p>
      <w:pPr>
        <w:pStyle w:val="ListBullet"/>
        <w:spacing w:after="40"/>
      </w:pPr>
      <w:r>
        <w:rPr>
          <w:b/>
        </w:rPr>
        <w:t xml:space="preserve">Direct link to controls - </w:t>
      </w:r>
      <w:r>
        <w:t>every risk maps to controls in the GT AI Risk &amp; Control Matrix (RCM v2.1, 81 controls), which in turn map to ISO/IEC 42001, EU AI Act, NIST AI RMF, Bahrain PDPL and CBB requirements.</w:t>
      </w:r>
    </w:p>
    <w:p>
      <w:pPr>
        <w:pStyle w:val="ListBullet"/>
        <w:spacing w:after="40"/>
      </w:pPr>
      <w:r>
        <w:rPr>
          <w:b/>
        </w:rPr>
        <w:t xml:space="preserve">Lifecycle coverage - </w:t>
      </w:r>
      <w:r>
        <w:t>assessments are triggered at defined lifecycle gates and on material change, with KRIs for continuous monitoring.</w:t>
      </w:r>
    </w:p>
    <w:p>
      <w:pPr>
        <w:pStyle w:val="ListBullet"/>
        <w:spacing w:after="40"/>
      </w:pPr>
      <w:r>
        <w:rPr>
          <w:b/>
        </w:rPr>
        <w:t xml:space="preserve">Practical tooling - </w:t>
      </w:r>
      <w:r>
        <w:t>an Excel toolkit automates tiering, scoring, heat maps, top-risk reporting and sign-off.</w:t>
      </w:r>
    </w:p>
    <w:tbl>
      <w:tblPr>
        <w:tblW w:type="auto" w:w="0"/>
        <w:jc w:val="center"/>
        <w:tblLook w:firstColumn="1" w:firstRow="1" w:lastColumn="0" w:lastRow="0" w:noHBand="0" w:noVBand="1" w:val="04A0"/>
        <w:tblCellMar>
          <w:top w:w="120" w:type="dxa"/>
          <w:left w:w="90" w:type="dxa"/>
          <w:bottom w:w="120" w:type="dxa"/>
          <w:right w:w="90" w:type="dxa"/>
        </w:tblCellMar>
      </w:tblPr>
      <w:tblGrid>
        <w:gridCol w:w="9638"/>
      </w:tblGrid>
      <w:tr>
        <w:tc>
          <w:tcPr>
            <w:tcW w:type="dxa" w:w="9638"/>
            <w:shd w:val="clear" w:color="auto" w:fill="EDE7F6"/>
          </w:tcPr>
          <w:p>
            <w:r/>
            <w:r>
              <w:rPr>
                <w:b/>
                <w:color w:val="4F2D7F"/>
                <w:sz w:val="20"/>
              </w:rPr>
              <w:t>How the framework fits the GT AI GRC service line</w:t>
            </w:r>
          </w:p>
          <w:p>
            <w:r>
              <w:rPr>
                <w:sz w:val="19"/>
              </w:rPr>
              <w:t>Organisation level: the GT AI Readiness Assessment Tool (and AI Ready7) measures capability maturity.  Control level: the GT AI RCM v2.1 defines what 'good' looks like.  Use-case level: this framework assesses and treats risk for each AI system and feeds the AI register, risk register and management reporting.</w:t>
            </w:r>
          </w:p>
        </w:tc>
      </w:tr>
    </w:tbl>
    <w:p>
      <w:pPr>
        <w:spacing w:after="40"/>
      </w:pPr>
    </w:p>
    <w:p>
      <w:pPr>
        <w:pStyle w:val="Heading1"/>
      </w:pPr>
      <w:r>
        <w:t>2. Purpose, scope and application</w:t>
      </w:r>
    </w:p>
    <w:p>
      <w:pPr>
        <w:pStyle w:val="Heading2"/>
      </w:pPr>
      <w:r>
        <w:t>2.1 Purpose</w:t>
      </w:r>
    </w:p>
    <w:p>
      <w:pPr>
        <w:pStyle w:val="ListBullet"/>
        <w:spacing w:after="40"/>
      </w:pPr>
      <w:r>
        <w:t>Provide a consistent, defensible and auditable method to identify, analyse, evaluate, treat and monitor risks from the development, procurement and use of AI systems.</w:t>
      </w:r>
    </w:p>
    <w:p>
      <w:pPr>
        <w:pStyle w:val="ListBullet"/>
        <w:spacing w:after="40"/>
      </w:pPr>
      <w:r>
        <w:t>Enable informed go / no-go and conditional-approval decisions proportionate to the risk of each AI use case.</w:t>
      </w:r>
    </w:p>
    <w:p>
      <w:pPr>
        <w:pStyle w:val="ListBullet"/>
        <w:spacing w:after="40"/>
      </w:pPr>
      <w:r>
        <w:t>Demonstrate conformity with ISO/IEC 42001 clauses 6.1.2 (AI risk assessment), 6.1.3 (AI risk treatment) and 6.1.4 (AI system impact assessment), EU AI Act Art. 9 / Art. 26-27, and supervisory expectations of regulators such as the CBB.</w:t>
      </w:r>
    </w:p>
    <w:p>
      <w:pPr>
        <w:pStyle w:val="ListBullet"/>
        <w:spacing w:after="40"/>
      </w:pPr>
      <w:r>
        <w:t>Generate the evidence (risk register, impact assessment, approvals) required by auditors, certification bodies and regulators.</w:t>
      </w:r>
    </w:p>
    <w:p>
      <w:pPr>
        <w:pStyle w:val="Heading2"/>
      </w:pPr>
      <w:r>
        <w:t>2.2 Scope</w:t>
      </w:r>
    </w:p>
    <w:p>
      <w:r>
        <w:rPr>
          <w:b w:val="0"/>
          <w:i w:val="0"/>
        </w:rPr>
        <w:t>The framework applies to any 'AI system' as defined by the OECD / EU AI Act: a machine-based system that, for explicit or implicit objectives, infers from the input it receives how to generate outputs such as predictions, content, recommendations or decisions that can influence physical or virtual environments. In scope are:</w:t>
      </w:r>
    </w:p>
    <w:p>
      <w:pPr>
        <w:pStyle w:val="ListBullet"/>
        <w:spacing w:after="40"/>
      </w:pPr>
      <w:r>
        <w:t>AI developed in-house, customised by vendors, or procured as commercial off-the-shelf or SaaS services;</w:t>
      </w:r>
    </w:p>
    <w:p>
      <w:pPr>
        <w:pStyle w:val="ListBullet"/>
        <w:spacing w:after="40"/>
      </w:pPr>
      <w:r>
        <w:t>AI features embedded in existing enterprise software (e.g., CRM, ERP, productivity suites);</w:t>
      </w:r>
    </w:p>
    <w:p>
      <w:pPr>
        <w:pStyle w:val="ListBullet"/>
        <w:spacing w:after="40"/>
      </w:pPr>
      <w:r>
        <w:t>generative AI and large language model (LLM) applications, retrieval-augmented generation (RAG) and AI agents;</w:t>
      </w:r>
    </w:p>
    <w:p>
      <w:pPr>
        <w:pStyle w:val="ListBullet"/>
        <w:spacing w:after="40"/>
      </w:pPr>
      <w:r>
        <w:t>traditional machine-learning models (e.g., credit scoring, fraud detection, forecasting) and intelligent automation;</w:t>
      </w:r>
    </w:p>
    <w:p>
      <w:pPr>
        <w:pStyle w:val="ListBullet"/>
        <w:spacing w:after="40"/>
      </w:pPr>
      <w:r>
        <w:t>third-party AI used by suppliers to deliver services to the organisation.</w:t>
      </w:r>
    </w:p>
    <w:p>
      <w:r>
        <w:rPr>
          <w:b w:val="0"/>
          <w:i w:val="0"/>
        </w:rPr>
        <w:t>Publicly available general-purpose AI tools used for low-risk productivity tasks may be governed by the AI Acceptable Use Policy (RCM GL-5) rather than a full assessment, provided the policy explicitly authorises that use - consistent with the NSW AIAF approach.</w:t>
      </w:r>
    </w:p>
    <w:p>
      <w:pPr>
        <w:pStyle w:val="Heading2"/>
      </w:pPr>
      <w:r>
        <w:t>2.3 When to apply the framework</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984"/>
        <w:gridCol w:w="7654"/>
      </w:tblGrid>
      <w:tr>
        <w:trPr>
          <w:tblHeader w:val="true"/>
        </w:trPr>
        <w:tc>
          <w:tcPr>
            <w:tcW w:type="dxa" w:w="1984"/>
            <w:shd w:val="clear" w:color="auto" w:fill="4F2D7F"/>
            <w:vAlign w:val="center"/>
          </w:tcPr>
          <w:p>
            <w:r/>
            <w:r>
              <w:rPr>
                <w:b/>
                <w:color w:val="FFFFFF"/>
                <w:sz w:val="17"/>
              </w:rPr>
              <w:t>Trigger type</w:t>
            </w:r>
          </w:p>
        </w:tc>
        <w:tc>
          <w:tcPr>
            <w:tcW w:type="dxa" w:w="7654"/>
            <w:shd w:val="clear" w:color="auto" w:fill="4F2D7F"/>
            <w:vAlign w:val="center"/>
          </w:tcPr>
          <w:p>
            <w:r/>
            <w:r>
              <w:rPr>
                <w:b/>
                <w:color w:val="FFFFFF"/>
                <w:sz w:val="17"/>
              </w:rPr>
              <w:t>Assessment points</w:t>
            </w:r>
          </w:p>
        </w:tc>
      </w:tr>
      <w:tr>
        <w:tc>
          <w:tcPr>
            <w:tcW w:type="dxa" w:w="1984"/>
          </w:tcPr>
          <w:p>
            <w:pPr>
              <w:spacing w:after="20"/>
            </w:pPr>
            <w:r/>
            <w:r>
              <w:rPr>
                <w:b/>
                <w:sz w:val="17"/>
              </w:rPr>
              <w:t>Lifecycle gates</w:t>
            </w:r>
          </w:p>
        </w:tc>
        <w:tc>
          <w:tcPr>
            <w:tcW w:type="dxa" w:w="7654"/>
          </w:tcPr>
          <w:p>
            <w:pPr>
              <w:spacing w:after="20"/>
            </w:pPr>
            <w:r/>
            <w:r>
              <w:rPr>
                <w:sz w:val="17"/>
              </w:rPr>
              <w:t>Concept / design (initial tiering)  -  Procurement (vendor due diligence)  -  Pilot / validation  -  Pre-deployment (full assessment &amp; approval)  -  Operation (periodic review per tier)  -  Retirement</w:t>
            </w:r>
          </w:p>
        </w:tc>
      </w:tr>
      <w:tr>
        <w:tc>
          <w:tcPr>
            <w:tcW w:type="dxa" w:w="1984"/>
            <w:shd w:val="clear" w:color="auto" w:fill="F7F4FB"/>
          </w:tcPr>
          <w:p>
            <w:pPr>
              <w:spacing w:after="20"/>
            </w:pPr>
            <w:r/>
            <w:r>
              <w:rPr>
                <w:b/>
                <w:sz w:val="17"/>
              </w:rPr>
              <w:t>Material change</w:t>
            </w:r>
          </w:p>
        </w:tc>
        <w:tc>
          <w:tcPr>
            <w:tcW w:type="dxa" w:w="7654"/>
            <w:shd w:val="clear" w:color="auto" w:fill="F7F4FB"/>
          </w:tcPr>
          <w:p>
            <w:pPr>
              <w:spacing w:after="20"/>
            </w:pPr>
            <w:r/>
            <w:r>
              <w:rPr>
                <w:sz w:val="17"/>
              </w:rPr>
              <w:t>New or changed purpose, user population or geography  -  change of model, provider or model version  -  new data sources or categories  -  reduced human oversight or increased autonomy (e.g., adding agent actions)  -  integration with new systems</w:t>
            </w:r>
          </w:p>
        </w:tc>
      </w:tr>
      <w:tr>
        <w:tc>
          <w:tcPr>
            <w:tcW w:type="dxa" w:w="1984"/>
          </w:tcPr>
          <w:p>
            <w:pPr>
              <w:spacing w:after="20"/>
            </w:pPr>
            <w:r/>
            <w:r>
              <w:rPr>
                <w:b/>
                <w:sz w:val="17"/>
              </w:rPr>
              <w:t>Risk signals</w:t>
            </w:r>
          </w:p>
        </w:tc>
        <w:tc>
          <w:tcPr>
            <w:tcW w:type="dxa" w:w="7654"/>
          </w:tcPr>
          <w:p>
            <w:pPr>
              <w:spacing w:after="20"/>
            </w:pPr>
            <w:r/>
            <w:r>
              <w:rPr>
                <w:sz w:val="17"/>
              </w:rPr>
              <w:t>KRI threshold breach  -  incident or near miss  -  complaint or contest trend  -  new regulation or guidance  -  new threat intelligence (e.g., new jailbreak technique)  -  discovery of unassessed (shadow) AI</w:t>
            </w:r>
          </w:p>
        </w:tc>
      </w:tr>
    </w:tbl>
    <w:p>
      <w:pPr>
        <w:spacing w:after="40"/>
      </w:pPr>
    </w:p>
    <w:p>
      <w:pPr>
        <w:pStyle w:val="Heading1"/>
      </w:pPr>
      <w:r>
        <w:t>3. Standards basis and alignment</w:t>
      </w:r>
    </w:p>
    <w:p>
      <w:r>
        <w:rPr>
          <w:b w:val="0"/>
          <w:i w:val="0"/>
        </w:rPr>
        <w:t>The framework is deliberately standards-based so that outputs are recognisable to auditors, certification bodies and regulators. The table below shows how each reference is used.</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3118"/>
        <w:gridCol w:w="6520"/>
      </w:tblGrid>
      <w:tr>
        <w:trPr>
          <w:tblHeader w:val="true"/>
        </w:trPr>
        <w:tc>
          <w:tcPr>
            <w:tcW w:type="dxa" w:w="3118"/>
            <w:shd w:val="clear" w:color="auto" w:fill="4F2D7F"/>
            <w:vAlign w:val="center"/>
          </w:tcPr>
          <w:p>
            <w:r/>
            <w:r>
              <w:rPr>
                <w:b/>
                <w:color w:val="FFFFFF"/>
                <w:sz w:val="17"/>
              </w:rPr>
              <w:t>Reference</w:t>
            </w:r>
          </w:p>
        </w:tc>
        <w:tc>
          <w:tcPr>
            <w:tcW w:type="dxa" w:w="6520"/>
            <w:shd w:val="clear" w:color="auto" w:fill="4F2D7F"/>
            <w:vAlign w:val="center"/>
          </w:tcPr>
          <w:p>
            <w:r/>
            <w:r>
              <w:rPr>
                <w:b/>
                <w:color w:val="FFFFFF"/>
                <w:sz w:val="17"/>
              </w:rPr>
              <w:t>How it is used in GT-AIRAF</w:t>
            </w:r>
          </w:p>
        </w:tc>
      </w:tr>
      <w:tr>
        <w:tc>
          <w:tcPr>
            <w:tcW w:type="dxa" w:w="3118"/>
          </w:tcPr>
          <w:p>
            <w:pPr>
              <w:spacing w:after="20"/>
            </w:pPr>
            <w:r/>
            <w:r>
              <w:rPr>
                <w:b/>
                <w:sz w:val="17"/>
              </w:rPr>
              <w:t>ISO 31000:2018 / ISO/IEC 23894:2023</w:t>
            </w:r>
          </w:p>
        </w:tc>
        <w:tc>
          <w:tcPr>
            <w:tcW w:type="dxa" w:w="6520"/>
          </w:tcPr>
          <w:p>
            <w:pPr>
              <w:spacing w:after="20"/>
            </w:pPr>
            <w:r/>
            <w:r>
              <w:rPr>
                <w:sz w:val="17"/>
              </w:rPr>
              <w:t>Core process (context, identification, analysis, evaluation, treatment, monitoring, communication) and AI-specific risk sources.</w:t>
            </w:r>
          </w:p>
        </w:tc>
      </w:tr>
      <w:tr>
        <w:tc>
          <w:tcPr>
            <w:tcW w:type="dxa" w:w="3118"/>
            <w:shd w:val="clear" w:color="auto" w:fill="F7F4FB"/>
          </w:tcPr>
          <w:p>
            <w:pPr>
              <w:spacing w:after="20"/>
            </w:pPr>
            <w:r/>
            <w:r>
              <w:rPr>
                <w:b/>
                <w:sz w:val="17"/>
              </w:rPr>
              <w:t>ISO/IEC 42001:2023</w:t>
            </w:r>
          </w:p>
        </w:tc>
        <w:tc>
          <w:tcPr>
            <w:tcW w:type="dxa" w:w="6520"/>
            <w:shd w:val="clear" w:color="auto" w:fill="F7F4FB"/>
          </w:tcPr>
          <w:p>
            <w:pPr>
              <w:spacing w:after="20"/>
            </w:pPr>
            <w:r/>
            <w:r>
              <w:rPr>
                <w:sz w:val="17"/>
              </w:rPr>
              <w:t>Management-system requirements for AI risk assessment (6.1.2), treatment (6.1.3), impact assessment (6.1.4), Annex A controls and objectives.</w:t>
            </w:r>
          </w:p>
        </w:tc>
      </w:tr>
      <w:tr>
        <w:tc>
          <w:tcPr>
            <w:tcW w:type="dxa" w:w="3118"/>
          </w:tcPr>
          <w:p>
            <w:pPr>
              <w:spacing w:after="20"/>
            </w:pPr>
            <w:r/>
            <w:r>
              <w:rPr>
                <w:b/>
                <w:sz w:val="17"/>
              </w:rPr>
              <w:t>ISO/IEC 42005:2025</w:t>
            </w:r>
          </w:p>
        </w:tc>
        <w:tc>
          <w:tcPr>
            <w:tcW w:type="dxa" w:w="6520"/>
          </w:tcPr>
          <w:p>
            <w:pPr>
              <w:spacing w:after="20"/>
            </w:pPr>
            <w:r/>
            <w:r>
              <w:rPr>
                <w:sz w:val="17"/>
              </w:rPr>
              <w:t>Structure and content of AI system impact assessments (individuals, groups, society).</w:t>
            </w:r>
          </w:p>
        </w:tc>
      </w:tr>
      <w:tr>
        <w:tc>
          <w:tcPr>
            <w:tcW w:type="dxa" w:w="3118"/>
            <w:shd w:val="clear" w:color="auto" w:fill="F7F4FB"/>
          </w:tcPr>
          <w:p>
            <w:pPr>
              <w:spacing w:after="20"/>
            </w:pPr>
            <w:r/>
            <w:r>
              <w:rPr>
                <w:b/>
                <w:sz w:val="17"/>
              </w:rPr>
              <w:t>NIST AI RMF 1.0 &amp; AI 600-1 (GenAI Profile)</w:t>
            </w:r>
          </w:p>
        </w:tc>
        <w:tc>
          <w:tcPr>
            <w:tcW w:type="dxa" w:w="6520"/>
            <w:shd w:val="clear" w:color="auto" w:fill="F7F4FB"/>
          </w:tcPr>
          <w:p>
            <w:pPr>
              <w:spacing w:after="20"/>
            </w:pPr>
            <w:r/>
            <w:r>
              <w:rPr>
                <w:sz w:val="17"/>
              </w:rPr>
              <w:t>Govern-Map-Measure-Manage functions; trustworthiness characteristics; 12 generative-AI risk categories used in the taxonomy.</w:t>
            </w:r>
          </w:p>
        </w:tc>
      </w:tr>
      <w:tr>
        <w:tc>
          <w:tcPr>
            <w:tcW w:type="dxa" w:w="3118"/>
          </w:tcPr>
          <w:p>
            <w:pPr>
              <w:spacing w:after="20"/>
            </w:pPr>
            <w:r/>
            <w:r>
              <w:rPr>
                <w:b/>
                <w:sz w:val="17"/>
              </w:rPr>
              <w:t>EU AI Act (Reg. 2024/1689)</w:t>
            </w:r>
          </w:p>
        </w:tc>
        <w:tc>
          <w:tcPr>
            <w:tcW w:type="dxa" w:w="6520"/>
          </w:tcPr>
          <w:p>
            <w:pPr>
              <w:spacing w:after="20"/>
            </w:pPr>
            <w:r/>
            <w:r>
              <w:rPr>
                <w:sz w:val="17"/>
              </w:rPr>
              <w:t>Prohibited practices (Art. 5), high-risk classification (Art. 6, Annex III), risk management (Art. 9), deployer duties and FRIA (Art. 26-27), transparency (Art. 50).</w:t>
            </w:r>
          </w:p>
        </w:tc>
      </w:tr>
      <w:tr>
        <w:tc>
          <w:tcPr>
            <w:tcW w:type="dxa" w:w="3118"/>
            <w:shd w:val="clear" w:color="auto" w:fill="F7F4FB"/>
          </w:tcPr>
          <w:p>
            <w:pPr>
              <w:spacing w:after="20"/>
            </w:pPr>
            <w:r/>
            <w:r>
              <w:rPr>
                <w:b/>
                <w:sz w:val="17"/>
              </w:rPr>
              <w:t>NSW AI Assessment Framework (AIAF)</w:t>
            </w:r>
          </w:p>
        </w:tc>
        <w:tc>
          <w:tcPr>
            <w:tcW w:type="dxa" w:w="6520"/>
            <w:shd w:val="clear" w:color="auto" w:fill="F7F4FB"/>
          </w:tcPr>
          <w:p>
            <w:pPr>
              <w:spacing w:after="20"/>
            </w:pPr>
            <w:r/>
            <w:r>
              <w:rPr>
                <w:sz w:val="17"/>
              </w:rPr>
              <w:t>Tiered self-assessment model: risk triggers, Low-Critical risk bands, escalation to an AI review committee, contestability principle.</w:t>
            </w:r>
          </w:p>
        </w:tc>
      </w:tr>
      <w:tr>
        <w:tc>
          <w:tcPr>
            <w:tcW w:type="dxa" w:w="3118"/>
          </w:tcPr>
          <w:p>
            <w:pPr>
              <w:spacing w:after="20"/>
            </w:pPr>
            <w:r/>
            <w:r>
              <w:rPr>
                <w:b/>
                <w:sz w:val="17"/>
              </w:rPr>
              <w:t>OWASP Top 10 for LLM / Agentic Applications; MITRE ATLAS; NIST AI 100-2</w:t>
            </w:r>
          </w:p>
        </w:tc>
        <w:tc>
          <w:tcPr>
            <w:tcW w:type="dxa" w:w="6520"/>
          </w:tcPr>
          <w:p>
            <w:pPr>
              <w:spacing w:after="20"/>
            </w:pPr>
            <w:r/>
            <w:r>
              <w:rPr>
                <w:sz w:val="17"/>
              </w:rPr>
              <w:t>Security risk identification and threat modelling for AI systems.</w:t>
            </w:r>
          </w:p>
        </w:tc>
      </w:tr>
      <w:tr>
        <w:tc>
          <w:tcPr>
            <w:tcW w:type="dxa" w:w="3118"/>
            <w:shd w:val="clear" w:color="auto" w:fill="F7F4FB"/>
          </w:tcPr>
          <w:p>
            <w:pPr>
              <w:spacing w:after="20"/>
            </w:pPr>
            <w:r/>
            <w:r>
              <w:rPr>
                <w:b/>
                <w:sz w:val="17"/>
              </w:rPr>
              <w:t>Bahrain PDPL (Law 30/2018); iGA General Policy for the Use of AI (2025); GCC AI Ethics Manual; CBB Rulebook</w:t>
            </w:r>
          </w:p>
        </w:tc>
        <w:tc>
          <w:tcPr>
            <w:tcW w:type="dxa" w:w="6520"/>
            <w:shd w:val="clear" w:color="auto" w:fill="F7F4FB"/>
          </w:tcPr>
          <w:p>
            <w:pPr>
              <w:spacing w:after="20"/>
            </w:pPr>
            <w:r/>
            <w:r>
              <w:rPr>
                <w:sz w:val="17"/>
              </w:rPr>
              <w:t>Local legal and regulatory criteria in impact scales, taxonomy and treatment.</w:t>
            </w:r>
          </w:p>
        </w:tc>
      </w:tr>
      <w:tr>
        <w:tc>
          <w:tcPr>
            <w:tcW w:type="dxa" w:w="3118"/>
          </w:tcPr>
          <w:p>
            <w:pPr>
              <w:spacing w:after="20"/>
            </w:pPr>
            <w:r/>
            <w:r>
              <w:rPr>
                <w:b/>
                <w:sz w:val="17"/>
              </w:rPr>
              <w:t>MIT AI Risk Repository; OECD AI Incidents Monitor</w:t>
            </w:r>
          </w:p>
        </w:tc>
        <w:tc>
          <w:tcPr>
            <w:tcW w:type="dxa" w:w="6520"/>
          </w:tcPr>
          <w:p>
            <w:pPr>
              <w:spacing w:after="20"/>
            </w:pPr>
            <w:r/>
            <w:r>
              <w:rPr>
                <w:sz w:val="17"/>
              </w:rPr>
              <w:t>Completeness check of the taxonomy; incident-based likelihood calibration.</w:t>
            </w:r>
          </w:p>
        </w:tc>
      </w:tr>
      <w:tr>
        <w:tc>
          <w:tcPr>
            <w:tcW w:type="dxa" w:w="3118"/>
            <w:shd w:val="clear" w:color="auto" w:fill="F7F4FB"/>
          </w:tcPr>
          <w:p>
            <w:pPr>
              <w:spacing w:after="20"/>
            </w:pPr>
            <w:r/>
            <w:r>
              <w:rPr>
                <w:b/>
                <w:sz w:val="17"/>
              </w:rPr>
              <w:t>GT AI Ready7 &amp; GT AI RCM v2.1</w:t>
            </w:r>
          </w:p>
        </w:tc>
        <w:tc>
          <w:tcPr>
            <w:tcW w:type="dxa" w:w="6520"/>
            <w:shd w:val="clear" w:color="auto" w:fill="F7F4FB"/>
          </w:tcPr>
          <w:p>
            <w:pPr>
              <w:spacing w:after="20"/>
            </w:pPr>
            <w:r/>
            <w:r>
              <w:rPr>
                <w:sz w:val="17"/>
              </w:rPr>
              <w:t>Organisation-level maturity inputs and the control library used for treatment.</w:t>
            </w:r>
          </w:p>
        </w:tc>
      </w:tr>
    </w:tbl>
    <w:p>
      <w:pPr>
        <w:spacing w:after="40"/>
      </w:pPr>
    </w:p>
    <w:p>
      <w:pPr>
        <w:pStyle w:val="Heading1"/>
      </w:pPr>
      <w:r>
        <w:t>4. Guiding principles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268"/>
        <w:gridCol w:w="7370"/>
      </w:tblGrid>
      <w:tr>
        <w:trPr>
          <w:tblHeader w:val="true"/>
        </w:trPr>
        <w:tc>
          <w:tcPr>
            <w:tcW w:type="dxa" w:w="2268"/>
            <w:shd w:val="clear" w:color="auto" w:fill="4F2D7F"/>
            <w:vAlign w:val="center"/>
          </w:tcPr>
          <w:p>
            <w:r/>
            <w:r>
              <w:rPr>
                <w:b/>
                <w:color w:val="FFFFFF"/>
                <w:sz w:val="17"/>
              </w:rPr>
              <w:t>Principle</w:t>
            </w:r>
          </w:p>
        </w:tc>
        <w:tc>
          <w:tcPr>
            <w:tcW w:type="dxa" w:w="7370"/>
            <w:shd w:val="clear" w:color="auto" w:fill="4F2D7F"/>
            <w:vAlign w:val="center"/>
          </w:tcPr>
          <w:p>
            <w:r/>
            <w:r>
              <w:rPr>
                <w:b/>
                <w:color w:val="FFFFFF"/>
                <w:sz w:val="17"/>
              </w:rPr>
              <w:t>What it means in practice</w:t>
            </w:r>
          </w:p>
        </w:tc>
      </w:tr>
      <w:tr>
        <w:tc>
          <w:tcPr>
            <w:tcW w:type="dxa" w:w="2268"/>
          </w:tcPr>
          <w:p>
            <w:pPr>
              <w:spacing w:after="20"/>
            </w:pPr>
            <w:r/>
            <w:r>
              <w:rPr>
                <w:b/>
                <w:sz w:val="17"/>
              </w:rPr>
              <w:t>Proportionate</w:t>
            </w:r>
          </w:p>
        </w:tc>
        <w:tc>
          <w:tcPr>
            <w:tcW w:type="dxa" w:w="7370"/>
          </w:tcPr>
          <w:p>
            <w:pPr>
              <w:spacing w:after="20"/>
            </w:pPr>
            <w:r/>
            <w:r>
              <w:rPr>
                <w:sz w:val="17"/>
              </w:rPr>
              <w:t>Effort and approval levels scale with inherent risk tier; Low-tier uses follow a light path.</w:t>
            </w:r>
          </w:p>
        </w:tc>
      </w:tr>
      <w:tr>
        <w:tc>
          <w:tcPr>
            <w:tcW w:type="dxa" w:w="2268"/>
            <w:shd w:val="clear" w:color="auto" w:fill="F7F4FB"/>
          </w:tcPr>
          <w:p>
            <w:pPr>
              <w:spacing w:after="20"/>
            </w:pPr>
            <w:r/>
            <w:r>
              <w:rPr>
                <w:b/>
                <w:sz w:val="17"/>
              </w:rPr>
              <w:t>Lifecycle-based</w:t>
            </w:r>
          </w:p>
        </w:tc>
        <w:tc>
          <w:tcPr>
            <w:tcW w:type="dxa" w:w="7370"/>
            <w:shd w:val="clear" w:color="auto" w:fill="F7F4FB"/>
          </w:tcPr>
          <w:p>
            <w:pPr>
              <w:spacing w:after="20"/>
            </w:pPr>
            <w:r/>
            <w:r>
              <w:rPr>
                <w:sz w:val="17"/>
              </w:rPr>
              <w:t>Risk is assessed at every gate and re-assessed on material change - not a one-off exercise.</w:t>
            </w:r>
          </w:p>
        </w:tc>
      </w:tr>
      <w:tr>
        <w:tc>
          <w:tcPr>
            <w:tcW w:type="dxa" w:w="2268"/>
          </w:tcPr>
          <w:p>
            <w:pPr>
              <w:spacing w:after="20"/>
            </w:pPr>
            <w:r/>
            <w:r>
              <w:rPr>
                <w:b/>
                <w:sz w:val="17"/>
              </w:rPr>
              <w:t>Socio-technical</w:t>
            </w:r>
          </w:p>
        </w:tc>
        <w:tc>
          <w:tcPr>
            <w:tcW w:type="dxa" w:w="7370"/>
          </w:tcPr>
          <w:p>
            <w:pPr>
              <w:spacing w:after="20"/>
            </w:pPr>
            <w:r/>
            <w:r>
              <w:rPr>
                <w:sz w:val="17"/>
              </w:rPr>
              <w:t>Risks to people, rights and society are considered alongside technical, financial and legal risks.</w:t>
            </w:r>
          </w:p>
        </w:tc>
      </w:tr>
      <w:tr>
        <w:tc>
          <w:tcPr>
            <w:tcW w:type="dxa" w:w="2268"/>
            <w:shd w:val="clear" w:color="auto" w:fill="F7F4FB"/>
          </w:tcPr>
          <w:p>
            <w:pPr>
              <w:spacing w:after="20"/>
            </w:pPr>
            <w:r/>
            <w:r>
              <w:rPr>
                <w:b/>
                <w:sz w:val="17"/>
              </w:rPr>
              <w:t>Evidence-based</w:t>
            </w:r>
          </w:p>
        </w:tc>
        <w:tc>
          <w:tcPr>
            <w:tcW w:type="dxa" w:w="7370"/>
            <w:shd w:val="clear" w:color="auto" w:fill="F7F4FB"/>
          </w:tcPr>
          <w:p>
            <w:pPr>
              <w:spacing w:after="20"/>
            </w:pPr>
            <w:r/>
            <w:r>
              <w:rPr>
                <w:sz w:val="17"/>
              </w:rPr>
              <w:t>Ratings are supported by testing, monitoring data, incident history and documentation.</w:t>
            </w:r>
          </w:p>
        </w:tc>
      </w:tr>
      <w:tr>
        <w:tc>
          <w:tcPr>
            <w:tcW w:type="dxa" w:w="2268"/>
          </w:tcPr>
          <w:p>
            <w:pPr>
              <w:spacing w:after="20"/>
            </w:pPr>
            <w:r/>
            <w:r>
              <w:rPr>
                <w:b/>
                <w:sz w:val="17"/>
              </w:rPr>
              <w:t>Human accountability</w:t>
            </w:r>
          </w:p>
        </w:tc>
        <w:tc>
          <w:tcPr>
            <w:tcW w:type="dxa" w:w="7370"/>
          </w:tcPr>
          <w:p>
            <w:pPr>
              <w:spacing w:after="20"/>
            </w:pPr>
            <w:r/>
            <w:r>
              <w:rPr>
                <w:sz w:val="17"/>
              </w:rPr>
              <w:t>Every AI system has named business and technical owners; AI never 'owns' a decision.</w:t>
            </w:r>
          </w:p>
        </w:tc>
      </w:tr>
      <w:tr>
        <w:tc>
          <w:tcPr>
            <w:tcW w:type="dxa" w:w="2268"/>
            <w:shd w:val="clear" w:color="auto" w:fill="F7F4FB"/>
          </w:tcPr>
          <w:p>
            <w:pPr>
              <w:spacing w:after="20"/>
            </w:pPr>
            <w:r/>
            <w:r>
              <w:rPr>
                <w:b/>
                <w:sz w:val="17"/>
              </w:rPr>
              <w:t>Integrated</w:t>
            </w:r>
          </w:p>
        </w:tc>
        <w:tc>
          <w:tcPr>
            <w:tcW w:type="dxa" w:w="7370"/>
            <w:shd w:val="clear" w:color="auto" w:fill="F7F4FB"/>
          </w:tcPr>
          <w:p>
            <w:pPr>
              <w:spacing w:after="20"/>
            </w:pPr>
            <w:r/>
            <w:r>
              <w:rPr>
                <w:sz w:val="17"/>
              </w:rPr>
              <w:t>AI risk feeds the enterprise risk register, uses the enterprise risk scales and escalation routes, and links to existing privacy, security and model-risk processes.</w:t>
            </w:r>
          </w:p>
        </w:tc>
      </w:tr>
      <w:tr>
        <w:tc>
          <w:tcPr>
            <w:tcW w:type="dxa" w:w="2268"/>
          </w:tcPr>
          <w:p>
            <w:pPr>
              <w:spacing w:after="20"/>
            </w:pPr>
            <w:r/>
            <w:r>
              <w:rPr>
                <w:b/>
                <w:sz w:val="17"/>
              </w:rPr>
              <w:t>Transparent &amp; contestable</w:t>
            </w:r>
          </w:p>
        </w:tc>
        <w:tc>
          <w:tcPr>
            <w:tcW w:type="dxa" w:w="7370"/>
          </w:tcPr>
          <w:p>
            <w:pPr>
              <w:spacing w:after="20"/>
            </w:pPr>
            <w:r/>
            <w:r>
              <w:rPr>
                <w:sz w:val="17"/>
              </w:rPr>
              <w:t>Assessments are documented; affected persons have a route to challenge AI-supported decisions.</w:t>
            </w:r>
          </w:p>
        </w:tc>
      </w:tr>
    </w:tbl>
    <w:p>
      <w:pPr>
        <w:spacing w:after="40"/>
      </w:pPr>
    </w:p>
    <w:p>
      <w:pPr>
        <w:pStyle w:val="Heading1"/>
      </w:pPr>
      <w:r>
        <w:t>5. Governance, roles and responsibilities</w:t>
      </w:r>
    </w:p>
    <w:p>
      <w:r>
        <w:rPr>
          <w:b w:val="0"/>
          <w:i w:val="0"/>
        </w:rPr>
        <w:t>The framework operates within a three-lines model with board-level oversight of AI risk appetite.</w:t>
      </w:r>
    </w:p>
    <w:p>
      <w:pPr>
        <w:jc w:val="center"/>
      </w:pPr>
      <w:r>
        <w:drawing>
          <wp:inline xmlns:a="http://schemas.openxmlformats.org/drawingml/2006/main" xmlns:pic="http://schemas.openxmlformats.org/drawingml/2006/picture">
            <wp:extent cx="5940000" cy="2219094"/>
            <wp:docPr id="1" name="Picture 1"/>
            <wp:cNvGraphicFramePr>
              <a:graphicFrameLocks noChangeAspect="1"/>
            </wp:cNvGraphicFramePr>
            <a:graphic>
              <a:graphicData uri="http://schemas.openxmlformats.org/drawingml/2006/picture">
                <pic:pic>
                  <pic:nvPicPr>
                    <pic:cNvPr id="0" name="lod.png"/>
                    <pic:cNvPicPr/>
                  </pic:nvPicPr>
                  <pic:blipFill>
                    <a:blip r:embed="rId9"/>
                    <a:stretch>
                      <a:fillRect/>
                    </a:stretch>
                  </pic:blipFill>
                  <pic:spPr>
                    <a:xfrm>
                      <a:off x="0" y="0"/>
                      <a:ext cx="5940000" cy="2219094"/>
                    </a:xfrm>
                    <a:prstGeom prst="rect"/>
                  </pic:spPr>
                </pic:pic>
              </a:graphicData>
            </a:graphic>
          </wp:inline>
        </w:drawing>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381"/>
        <w:gridCol w:w="1020"/>
        <w:gridCol w:w="1020"/>
        <w:gridCol w:w="1020"/>
        <w:gridCol w:w="1247"/>
        <w:gridCol w:w="850"/>
        <w:gridCol w:w="1020"/>
        <w:gridCol w:w="1020"/>
      </w:tblGrid>
      <w:tr>
        <w:trPr>
          <w:tblHeader w:val="true"/>
        </w:trPr>
        <w:tc>
          <w:tcPr>
            <w:tcW w:type="dxa" w:w="2381"/>
            <w:shd w:val="clear" w:color="auto" w:fill="4F2D7F"/>
            <w:vAlign w:val="center"/>
          </w:tcPr>
          <w:p>
            <w:r/>
            <w:r>
              <w:rPr>
                <w:b/>
                <w:color w:val="FFFFFF"/>
                <w:sz w:val="15"/>
              </w:rPr>
              <w:t>Activity</w:t>
            </w:r>
          </w:p>
        </w:tc>
        <w:tc>
          <w:tcPr>
            <w:tcW w:type="dxa" w:w="1020"/>
            <w:shd w:val="clear" w:color="auto" w:fill="4F2D7F"/>
            <w:vAlign w:val="center"/>
          </w:tcPr>
          <w:p>
            <w:r/>
            <w:r>
              <w:rPr>
                <w:b/>
                <w:color w:val="FFFFFF"/>
                <w:sz w:val="15"/>
              </w:rPr>
              <w:t>Use-case owner</w:t>
            </w:r>
          </w:p>
        </w:tc>
        <w:tc>
          <w:tcPr>
            <w:tcW w:type="dxa" w:w="1020"/>
            <w:shd w:val="clear" w:color="auto" w:fill="4F2D7F"/>
            <w:vAlign w:val="center"/>
          </w:tcPr>
          <w:p>
            <w:r/>
            <w:r>
              <w:rPr>
                <w:b/>
                <w:color w:val="FFFFFF"/>
                <w:sz w:val="15"/>
              </w:rPr>
              <w:t>Tech / data team</w:t>
            </w:r>
          </w:p>
        </w:tc>
        <w:tc>
          <w:tcPr>
            <w:tcW w:type="dxa" w:w="1020"/>
            <w:shd w:val="clear" w:color="auto" w:fill="4F2D7F"/>
            <w:vAlign w:val="center"/>
          </w:tcPr>
          <w:p>
            <w:r/>
            <w:r>
              <w:rPr>
                <w:b/>
                <w:color w:val="FFFFFF"/>
                <w:sz w:val="15"/>
              </w:rPr>
              <w:t>Risk (2nd line)</w:t>
            </w:r>
          </w:p>
        </w:tc>
        <w:tc>
          <w:tcPr>
            <w:tcW w:type="dxa" w:w="1247"/>
            <w:shd w:val="clear" w:color="auto" w:fill="4F2D7F"/>
            <w:vAlign w:val="center"/>
          </w:tcPr>
          <w:p>
            <w:r/>
            <w:r>
              <w:rPr>
                <w:b/>
                <w:color w:val="FFFFFF"/>
                <w:sz w:val="15"/>
              </w:rPr>
              <w:t>Privacy / Legal / Compliance</w:t>
            </w:r>
          </w:p>
        </w:tc>
        <w:tc>
          <w:tcPr>
            <w:tcW w:type="dxa" w:w="850"/>
            <w:shd w:val="clear" w:color="auto" w:fill="4F2D7F"/>
            <w:vAlign w:val="center"/>
          </w:tcPr>
          <w:p>
            <w:r/>
            <w:r>
              <w:rPr>
                <w:b/>
                <w:color w:val="FFFFFF"/>
                <w:sz w:val="15"/>
              </w:rPr>
              <w:t>InfoSec</w:t>
            </w:r>
          </w:p>
        </w:tc>
        <w:tc>
          <w:tcPr>
            <w:tcW w:type="dxa" w:w="1020"/>
            <w:shd w:val="clear" w:color="auto" w:fill="4F2D7F"/>
            <w:vAlign w:val="center"/>
          </w:tcPr>
          <w:p>
            <w:r/>
            <w:r>
              <w:rPr>
                <w:b/>
                <w:color w:val="FFFFFF"/>
                <w:sz w:val="15"/>
              </w:rPr>
              <w:t>AI Committee</w:t>
            </w:r>
          </w:p>
        </w:tc>
        <w:tc>
          <w:tcPr>
            <w:tcW w:type="dxa" w:w="1020"/>
            <w:shd w:val="clear" w:color="auto" w:fill="4F2D7F"/>
            <w:vAlign w:val="center"/>
          </w:tcPr>
          <w:p>
            <w:r/>
            <w:r>
              <w:rPr>
                <w:b/>
                <w:color w:val="FFFFFF"/>
                <w:sz w:val="15"/>
              </w:rPr>
              <w:t>Internal Audit</w:t>
            </w:r>
          </w:p>
        </w:tc>
      </w:tr>
      <w:tr>
        <w:tc>
          <w:tcPr>
            <w:tcW w:type="dxa" w:w="2381"/>
          </w:tcPr>
          <w:p>
            <w:pPr>
              <w:spacing w:after="20"/>
            </w:pPr>
            <w:r/>
            <w:r>
              <w:rPr>
                <w:b/>
                <w:sz w:val="15"/>
              </w:rPr>
              <w:t>Use-case profile &amp; tiering</w:t>
            </w:r>
          </w:p>
        </w:tc>
        <w:tc>
          <w:tcPr>
            <w:tcW w:type="dxa" w:w="1020"/>
          </w:tcPr>
          <w:p>
            <w:pPr>
              <w:spacing w:after="20"/>
            </w:pPr>
            <w:r/>
            <w:r>
              <w:rPr>
                <w:sz w:val="15"/>
              </w:rPr>
              <w:t>A/R</w:t>
            </w:r>
          </w:p>
        </w:tc>
        <w:tc>
          <w:tcPr>
            <w:tcW w:type="dxa" w:w="1020"/>
          </w:tcPr>
          <w:p>
            <w:pPr>
              <w:spacing w:after="20"/>
            </w:pPr>
            <w:r/>
            <w:r>
              <w:rPr>
                <w:sz w:val="15"/>
              </w:rPr>
              <w:t>C</w:t>
            </w:r>
          </w:p>
        </w:tc>
        <w:tc>
          <w:tcPr>
            <w:tcW w:type="dxa" w:w="1020"/>
          </w:tcPr>
          <w:p>
            <w:pPr>
              <w:spacing w:after="20"/>
            </w:pPr>
            <w:r/>
            <w:r>
              <w:rPr>
                <w:sz w:val="15"/>
              </w:rPr>
              <w:t>C</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Prohibited-practice screening</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C</w:t>
            </w:r>
          </w:p>
        </w:tc>
        <w:tc>
          <w:tcPr>
            <w:tcW w:type="dxa" w:w="1020"/>
            <w:shd w:val="clear" w:color="auto" w:fill="F7F4FB"/>
          </w:tcPr>
          <w:p>
            <w:pPr>
              <w:spacing w:after="20"/>
            </w:pPr>
            <w:r/>
            <w:r>
              <w:rPr>
                <w:sz w:val="15"/>
              </w:rPr>
              <w:t>C</w:t>
            </w:r>
          </w:p>
        </w:tc>
        <w:tc>
          <w:tcPr>
            <w:tcW w:type="dxa" w:w="1247"/>
            <w:shd w:val="clear" w:color="auto" w:fill="F7F4FB"/>
          </w:tcPr>
          <w:p>
            <w:pPr>
              <w:spacing w:after="20"/>
            </w:pPr>
            <w:r/>
            <w:r>
              <w:rPr>
                <w:sz w:val="15"/>
              </w:rPr>
              <w:t>A</w:t>
            </w:r>
          </w:p>
        </w:tc>
        <w:tc>
          <w:tcPr>
            <w:tcW w:type="dxa" w:w="850"/>
            <w:shd w:val="clear" w:color="auto" w:fill="F7F4FB"/>
          </w:tcPr>
          <w:p>
            <w:pPr>
              <w:spacing w:after="20"/>
            </w:pPr>
            <w:r/>
            <w:r>
              <w:rPr>
                <w:sz w:val="15"/>
              </w:rPr>
              <w:t>-</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w:t>
            </w:r>
          </w:p>
        </w:tc>
      </w:tr>
      <w:tr>
        <w:tc>
          <w:tcPr>
            <w:tcW w:type="dxa" w:w="2381"/>
          </w:tcPr>
          <w:p>
            <w:pPr>
              <w:spacing w:after="20"/>
            </w:pPr>
            <w:r/>
            <w:r>
              <w:rPr>
                <w:b/>
                <w:sz w:val="15"/>
              </w:rPr>
              <w:t>Risk identification &amp; analysis</w:t>
            </w:r>
          </w:p>
        </w:tc>
        <w:tc>
          <w:tcPr>
            <w:tcW w:type="dxa" w:w="1020"/>
          </w:tcPr>
          <w:p>
            <w:pPr>
              <w:spacing w:after="20"/>
            </w:pPr>
            <w:r/>
            <w:r>
              <w:rPr>
                <w:sz w:val="15"/>
              </w:rPr>
              <w:t>A</w:t>
            </w:r>
          </w:p>
        </w:tc>
        <w:tc>
          <w:tcPr>
            <w:tcW w:type="dxa" w:w="1020"/>
          </w:tcPr>
          <w:p>
            <w:pPr>
              <w:spacing w:after="20"/>
            </w:pPr>
            <w:r/>
            <w:r>
              <w:rPr>
                <w:sz w:val="15"/>
              </w:rPr>
              <w:t>R</w:t>
            </w:r>
          </w:p>
        </w:tc>
        <w:tc>
          <w:tcPr>
            <w:tcW w:type="dxa" w:w="1020"/>
          </w:tcPr>
          <w:p>
            <w:pPr>
              <w:spacing w:after="20"/>
            </w:pPr>
            <w:r/>
            <w:r>
              <w:rPr>
                <w:sz w:val="15"/>
              </w:rPr>
              <w:t>C</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Impact assessment (High/Critical)</w:t>
            </w:r>
          </w:p>
        </w:tc>
        <w:tc>
          <w:tcPr>
            <w:tcW w:type="dxa" w:w="1020"/>
            <w:shd w:val="clear" w:color="auto" w:fill="F7F4FB"/>
          </w:tcPr>
          <w:p>
            <w:pPr>
              <w:spacing w:after="20"/>
            </w:pPr>
            <w:r/>
            <w:r>
              <w:rPr>
                <w:sz w:val="15"/>
              </w:rPr>
              <w:t>A</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R</w:t>
            </w:r>
          </w:p>
        </w:tc>
        <w:tc>
          <w:tcPr>
            <w:tcW w:type="dxa" w:w="1247"/>
            <w:shd w:val="clear" w:color="auto" w:fill="F7F4FB"/>
          </w:tcPr>
          <w:p>
            <w:pPr>
              <w:spacing w:after="20"/>
            </w:pPr>
            <w:r/>
            <w:r>
              <w:rPr>
                <w:sz w:val="15"/>
              </w:rPr>
              <w:t>R</w:t>
            </w:r>
          </w:p>
        </w:tc>
        <w:tc>
          <w:tcPr>
            <w:tcW w:type="dxa" w:w="850"/>
            <w:shd w:val="clear" w:color="auto" w:fill="F7F4FB"/>
          </w:tcPr>
          <w:p>
            <w:pPr>
              <w:spacing w:after="20"/>
            </w:pPr>
            <w:r/>
            <w:r>
              <w:rPr>
                <w:sz w:val="15"/>
              </w:rPr>
              <w:t>C</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w:t>
            </w:r>
          </w:p>
        </w:tc>
      </w:tr>
      <w:tr>
        <w:tc>
          <w:tcPr>
            <w:tcW w:type="dxa" w:w="2381"/>
          </w:tcPr>
          <w:p>
            <w:pPr>
              <w:spacing w:after="20"/>
            </w:pPr>
            <w:r/>
            <w:r>
              <w:rPr>
                <w:b/>
                <w:sz w:val="15"/>
              </w:rPr>
              <w:t>Independent validation / challenge</w:t>
            </w:r>
          </w:p>
        </w:tc>
        <w:tc>
          <w:tcPr>
            <w:tcW w:type="dxa" w:w="1020"/>
          </w:tcPr>
          <w:p>
            <w:pPr>
              <w:spacing w:after="20"/>
            </w:pPr>
            <w:r/>
            <w:r>
              <w:rPr>
                <w:sz w:val="15"/>
              </w:rPr>
              <w:t>I</w:t>
            </w:r>
          </w:p>
        </w:tc>
        <w:tc>
          <w:tcPr>
            <w:tcW w:type="dxa" w:w="1020"/>
          </w:tcPr>
          <w:p>
            <w:pPr>
              <w:spacing w:after="20"/>
            </w:pPr>
            <w:r/>
            <w:r>
              <w:rPr>
                <w:sz w:val="15"/>
              </w:rPr>
              <w:t>C</w:t>
            </w:r>
          </w:p>
        </w:tc>
        <w:tc>
          <w:tcPr>
            <w:tcW w:type="dxa" w:w="1020"/>
          </w:tcPr>
          <w:p>
            <w:pPr>
              <w:spacing w:after="20"/>
            </w:pPr>
            <w:r/>
            <w:r>
              <w:rPr>
                <w:sz w:val="15"/>
              </w:rPr>
              <w:t>A/R</w:t>
            </w:r>
          </w:p>
        </w:tc>
        <w:tc>
          <w:tcPr>
            <w:tcW w:type="dxa" w:w="1247"/>
          </w:tcPr>
          <w:p>
            <w:pPr>
              <w:spacing w:after="20"/>
            </w:pPr>
            <w:r/>
            <w:r>
              <w:rPr>
                <w:sz w:val="15"/>
              </w:rPr>
              <w:t>C</w:t>
            </w:r>
          </w:p>
        </w:tc>
        <w:tc>
          <w:tcPr>
            <w:tcW w:type="dxa" w:w="850"/>
          </w:tcPr>
          <w:p>
            <w:pPr>
              <w:spacing w:after="20"/>
            </w:pPr>
            <w:r/>
            <w:r>
              <w:rPr>
                <w:sz w:val="15"/>
              </w:rPr>
              <w:t>R</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Treatment plan &amp; controls</w:t>
            </w:r>
          </w:p>
        </w:tc>
        <w:tc>
          <w:tcPr>
            <w:tcW w:type="dxa" w:w="1020"/>
            <w:shd w:val="clear" w:color="auto" w:fill="F7F4FB"/>
          </w:tcPr>
          <w:p>
            <w:pPr>
              <w:spacing w:after="20"/>
            </w:pPr>
            <w:r/>
            <w:r>
              <w:rPr>
                <w:sz w:val="15"/>
              </w:rPr>
              <w:t>A</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C</w:t>
            </w:r>
          </w:p>
        </w:tc>
        <w:tc>
          <w:tcPr>
            <w:tcW w:type="dxa" w:w="1247"/>
            <w:shd w:val="clear" w:color="auto" w:fill="F7F4FB"/>
          </w:tcPr>
          <w:p>
            <w:pPr>
              <w:spacing w:after="20"/>
            </w:pPr>
            <w:r/>
            <w:r>
              <w:rPr>
                <w:sz w:val="15"/>
              </w:rPr>
              <w:t>C</w:t>
            </w:r>
          </w:p>
        </w:tc>
        <w:tc>
          <w:tcPr>
            <w:tcW w:type="dxa" w:w="850"/>
            <w:shd w:val="clear" w:color="auto" w:fill="F7F4FB"/>
          </w:tcPr>
          <w:p>
            <w:pPr>
              <w:spacing w:after="20"/>
            </w:pPr>
            <w:r/>
            <w:r>
              <w:rPr>
                <w:sz w:val="15"/>
              </w:rPr>
              <w:t>R</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w:t>
            </w:r>
          </w:p>
        </w:tc>
      </w:tr>
      <w:tr>
        <w:tc>
          <w:tcPr>
            <w:tcW w:type="dxa" w:w="2381"/>
          </w:tcPr>
          <w:p>
            <w:pPr>
              <w:spacing w:after="20"/>
            </w:pPr>
            <w:r/>
            <w:r>
              <w:rPr>
                <w:b/>
                <w:sz w:val="15"/>
              </w:rPr>
              <w:t>Approval - Low / Medium</w:t>
            </w:r>
          </w:p>
        </w:tc>
        <w:tc>
          <w:tcPr>
            <w:tcW w:type="dxa" w:w="1020"/>
          </w:tcPr>
          <w:p>
            <w:pPr>
              <w:spacing w:after="20"/>
            </w:pPr>
            <w:r/>
            <w:r>
              <w:rPr>
                <w:sz w:val="15"/>
              </w:rPr>
              <w:t>A</w:t>
            </w:r>
          </w:p>
        </w:tc>
        <w:tc>
          <w:tcPr>
            <w:tcW w:type="dxa" w:w="1020"/>
          </w:tcPr>
          <w:p>
            <w:pPr>
              <w:spacing w:after="20"/>
            </w:pPr>
            <w:r/>
            <w:r>
              <w:rPr>
                <w:sz w:val="15"/>
              </w:rPr>
              <w:t>-</w:t>
            </w:r>
          </w:p>
        </w:tc>
        <w:tc>
          <w:tcPr>
            <w:tcW w:type="dxa" w:w="1020"/>
          </w:tcPr>
          <w:p>
            <w:pPr>
              <w:spacing w:after="20"/>
            </w:pPr>
            <w:r/>
            <w:r>
              <w:rPr>
                <w:sz w:val="15"/>
              </w:rPr>
              <w:t>C</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Approval - High / Critical</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C</w:t>
            </w:r>
          </w:p>
        </w:tc>
        <w:tc>
          <w:tcPr>
            <w:tcW w:type="dxa" w:w="1020"/>
            <w:shd w:val="clear" w:color="auto" w:fill="F7F4FB"/>
          </w:tcPr>
          <w:p>
            <w:pPr>
              <w:spacing w:after="20"/>
            </w:pPr>
            <w:r/>
            <w:r>
              <w:rPr>
                <w:sz w:val="15"/>
              </w:rPr>
              <w:t>C</w:t>
            </w:r>
          </w:p>
        </w:tc>
        <w:tc>
          <w:tcPr>
            <w:tcW w:type="dxa" w:w="1247"/>
            <w:shd w:val="clear" w:color="auto" w:fill="F7F4FB"/>
          </w:tcPr>
          <w:p>
            <w:pPr>
              <w:spacing w:after="20"/>
            </w:pPr>
            <w:r/>
            <w:r>
              <w:rPr>
                <w:sz w:val="15"/>
              </w:rPr>
              <w:t>C</w:t>
            </w:r>
          </w:p>
        </w:tc>
        <w:tc>
          <w:tcPr>
            <w:tcW w:type="dxa" w:w="850"/>
            <w:shd w:val="clear" w:color="auto" w:fill="F7F4FB"/>
          </w:tcPr>
          <w:p>
            <w:pPr>
              <w:spacing w:after="20"/>
            </w:pPr>
            <w:r/>
            <w:r>
              <w:rPr>
                <w:sz w:val="15"/>
              </w:rPr>
              <w:t>C</w:t>
            </w:r>
          </w:p>
        </w:tc>
        <w:tc>
          <w:tcPr>
            <w:tcW w:type="dxa" w:w="1020"/>
            <w:shd w:val="clear" w:color="auto" w:fill="F7F4FB"/>
          </w:tcPr>
          <w:p>
            <w:pPr>
              <w:spacing w:after="20"/>
            </w:pPr>
            <w:r/>
            <w:r>
              <w:rPr>
                <w:sz w:val="15"/>
              </w:rPr>
              <w:t>A</w:t>
            </w:r>
          </w:p>
        </w:tc>
        <w:tc>
          <w:tcPr>
            <w:tcW w:type="dxa" w:w="1020"/>
            <w:shd w:val="clear" w:color="auto" w:fill="F7F4FB"/>
          </w:tcPr>
          <w:p>
            <w:pPr>
              <w:spacing w:after="20"/>
            </w:pPr>
            <w:r/>
            <w:r>
              <w:rPr>
                <w:sz w:val="15"/>
              </w:rPr>
              <w:t>-</w:t>
            </w:r>
          </w:p>
        </w:tc>
      </w:tr>
      <w:tr>
        <w:tc>
          <w:tcPr>
            <w:tcW w:type="dxa" w:w="2381"/>
          </w:tcPr>
          <w:p>
            <w:pPr>
              <w:spacing w:after="20"/>
            </w:pPr>
            <w:r/>
            <w:r>
              <w:rPr>
                <w:b/>
                <w:sz w:val="15"/>
              </w:rPr>
              <w:t>KRI monitoring &amp; re-assessment</w:t>
            </w:r>
          </w:p>
        </w:tc>
        <w:tc>
          <w:tcPr>
            <w:tcW w:type="dxa" w:w="1020"/>
          </w:tcPr>
          <w:p>
            <w:pPr>
              <w:spacing w:after="20"/>
            </w:pPr>
            <w:r/>
            <w:r>
              <w:rPr>
                <w:sz w:val="15"/>
              </w:rPr>
              <w:t>A</w:t>
            </w:r>
          </w:p>
        </w:tc>
        <w:tc>
          <w:tcPr>
            <w:tcW w:type="dxa" w:w="1020"/>
          </w:tcPr>
          <w:p>
            <w:pPr>
              <w:spacing w:after="20"/>
            </w:pPr>
            <w:r/>
            <w:r>
              <w:rPr>
                <w:sz w:val="15"/>
              </w:rPr>
              <w:t>R</w:t>
            </w:r>
          </w:p>
        </w:tc>
        <w:tc>
          <w:tcPr>
            <w:tcW w:type="dxa" w:w="1020"/>
          </w:tcPr>
          <w:p>
            <w:pPr>
              <w:spacing w:after="20"/>
            </w:pPr>
            <w:r/>
            <w:r>
              <w:rPr>
                <w:sz w:val="15"/>
              </w:rPr>
              <w:t>R</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Independent assurance</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I</w:t>
            </w:r>
          </w:p>
        </w:tc>
        <w:tc>
          <w:tcPr>
            <w:tcW w:type="dxa" w:w="1247"/>
            <w:shd w:val="clear" w:color="auto" w:fill="F7F4FB"/>
          </w:tcPr>
          <w:p>
            <w:pPr>
              <w:spacing w:after="20"/>
            </w:pPr>
            <w:r/>
            <w:r>
              <w:rPr>
                <w:sz w:val="15"/>
              </w:rPr>
              <w:t>I</w:t>
            </w:r>
          </w:p>
        </w:tc>
        <w:tc>
          <w:tcPr>
            <w:tcW w:type="dxa" w:w="850"/>
            <w:shd w:val="clear" w:color="auto" w:fill="F7F4FB"/>
          </w:tcPr>
          <w:p>
            <w:pPr>
              <w:spacing w:after="20"/>
            </w:pPr>
            <w:r/>
            <w:r>
              <w:rPr>
                <w:sz w:val="15"/>
              </w:rPr>
              <w:t>I</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A/R</w:t>
            </w:r>
          </w:p>
        </w:tc>
      </w:tr>
    </w:tbl>
    <w:p>
      <w:pPr>
        <w:spacing w:after="40"/>
      </w:pPr>
    </w:p>
    <w:p>
      <w:r>
        <w:rPr>
          <w:b w:val="0"/>
          <w:i/>
          <w:sz w:val="17"/>
        </w:rPr>
        <w:t>R = Responsible, A = Accountable, C = Consulted, I = Informed.</w:t>
      </w:r>
    </w:p>
    <w:p>
      <w:pPr>
        <w:pStyle w:val="Heading1"/>
      </w:pPr>
      <w:r>
        <w:t>6. The AI risk assessment process</w:t>
      </w:r>
    </w:p>
    <w:p>
      <w:r>
        <w:rPr>
          <w:b w:val="0"/>
          <w:i w:val="0"/>
        </w:rPr>
        <w:t>The process has seven stages. Stages 0-1 are completed for every AI use case; stages 2-6 are completed at a depth determined by the tier.</w:t>
      </w:r>
    </w:p>
    <w:p>
      <w:pPr>
        <w:jc w:val="center"/>
      </w:pPr>
      <w:r>
        <w:drawing>
          <wp:inline xmlns:a="http://schemas.openxmlformats.org/drawingml/2006/main" xmlns:pic="http://schemas.openxmlformats.org/drawingml/2006/picture">
            <wp:extent cx="6120000" cy="2405914"/>
            <wp:docPr id="2" name="Picture 2"/>
            <wp:cNvGraphicFramePr>
              <a:graphicFrameLocks noChangeAspect="1"/>
            </wp:cNvGraphicFramePr>
            <a:graphic>
              <a:graphicData uri="http://schemas.openxmlformats.org/drawingml/2006/picture">
                <pic:pic>
                  <pic:nvPicPr>
                    <pic:cNvPr id="0" name="process.png"/>
                    <pic:cNvPicPr/>
                  </pic:nvPicPr>
                  <pic:blipFill>
                    <a:blip r:embed="rId10"/>
                    <a:stretch>
                      <a:fillRect/>
                    </a:stretch>
                  </pic:blipFill>
                  <pic:spPr>
                    <a:xfrm>
                      <a:off x="0" y="0"/>
                      <a:ext cx="6120000" cy="2405914"/>
                    </a:xfrm>
                    <a:prstGeom prst="rect"/>
                  </pic:spPr>
                </pic:pic>
              </a:graphicData>
            </a:graphic>
          </wp:inline>
        </w:drawing>
      </w:r>
    </w:p>
    <w:p>
      <w:pPr>
        <w:pStyle w:val="Heading2"/>
      </w:pPr>
      <w:r>
        <w:t>Stage 0 - Intake and context establishment</w:t>
      </w:r>
    </w:p>
    <w:p>
      <w:r>
        <w:rPr>
          <w:b w:val="0"/>
          <w:i w:val="0"/>
        </w:rPr>
        <w:t>The use-case owner registers the AI use case in the AI register (RCM GL-8) and completes the use-case profile. The objective is a shared understanding of what the system is intended to do, for whom and under which constraints.</w:t>
      </w:r>
    </w:p>
    <w:p>
      <w:pPr>
        <w:pStyle w:val="ListBullet"/>
        <w:spacing w:after="40"/>
      </w:pPr>
      <w:r>
        <w:t>Intended purpose, out-of-scope uses and success measures;</w:t>
      </w:r>
    </w:p>
    <w:p>
      <w:pPr>
        <w:pStyle w:val="ListBullet"/>
        <w:spacing w:after="40"/>
      </w:pPr>
      <w:r>
        <w:t>AI system type (GenAI, agentic, predictive ML, computer vision, embedded AI, etc.) and lifecycle stage;</w:t>
      </w:r>
    </w:p>
    <w:p>
      <w:pPr>
        <w:pStyle w:val="ListBullet"/>
        <w:spacing w:after="40"/>
      </w:pPr>
      <w:r>
        <w:t>the organisation's role - provider, deployer, importer or distributor - which determines EU AI Act obligations;</w:t>
      </w:r>
    </w:p>
    <w:p>
      <w:pPr>
        <w:pStyle w:val="ListBullet"/>
        <w:spacing w:after="40"/>
      </w:pPr>
      <w:r>
        <w:t>affected stakeholders, including vulnerable groups;</w:t>
      </w:r>
    </w:p>
    <w:p>
      <w:pPr>
        <w:pStyle w:val="ListBullet"/>
        <w:spacing w:after="40"/>
      </w:pPr>
      <w:r>
        <w:t>data sources and categories (personal, sensitive, confidential, client data);</w:t>
      </w:r>
    </w:p>
    <w:p>
      <w:pPr>
        <w:pStyle w:val="ListBullet"/>
        <w:spacing w:after="40"/>
      </w:pPr>
      <w:r>
        <w:t>third parties and hosting locations (relevant for PDPL cross-border rules);</w:t>
      </w:r>
    </w:p>
    <w:p>
      <w:pPr>
        <w:pStyle w:val="ListBullet"/>
        <w:spacing w:after="40"/>
      </w:pPr>
      <w:r>
        <w:t>applicable laws, regulations, contracts and internal policies.</w:t>
      </w:r>
    </w:p>
    <w:p>
      <w:pPr>
        <w:pStyle w:val="Heading2"/>
      </w:pPr>
      <w:r>
        <w:t>Stage 1 - Screening and inherent risk tiering</w:t>
      </w:r>
    </w:p>
    <w:p>
      <w:r>
        <w:rPr>
          <w:b/>
        </w:rPr>
        <w:t xml:space="preserve">Step 1a - Prohibited-practice screen. </w:t>
      </w:r>
      <w:r>
        <w:rPr>
          <w:b w:val="0"/>
        </w:rPr>
        <w:t>Eight questions based on EU AI Act Art. 5 (manipulation, exploitation of vulnerabilities, social scoring, predictive policing on profiling alone, untargeted facial scraping, workplace/education emotion recognition, sensitive biometric categorisation, real-time remote biometric identification). Any 'Yes' stops the assessment pending Legal review.</w:t>
      </w:r>
    </w:p>
    <w:p>
      <w:r>
        <w:rPr>
          <w:b/>
        </w:rPr>
        <w:t xml:space="preserve">Step 1b - Inherent risk tiering. </w:t>
      </w:r>
      <w:r>
        <w:rPr>
          <w:b w:val="0"/>
        </w:rPr>
        <w:t>Ten factors are rated 0-4 before considering controls. Each factor has a weight reflecting its contribution to potential harm. The weighted score is normalised to 0-100.</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567"/>
        <w:gridCol w:w="2041"/>
        <w:gridCol w:w="737"/>
        <w:gridCol w:w="3005"/>
        <w:gridCol w:w="3288"/>
      </w:tblGrid>
      <w:tr>
        <w:trPr>
          <w:tblHeader w:val="true"/>
        </w:trPr>
        <w:tc>
          <w:tcPr>
            <w:tcW w:type="dxa" w:w="567"/>
            <w:shd w:val="clear" w:color="auto" w:fill="4F2D7F"/>
            <w:vAlign w:val="center"/>
          </w:tcPr>
          <w:p>
            <w:r/>
            <w:r>
              <w:rPr>
                <w:b/>
                <w:color w:val="FFFFFF"/>
                <w:sz w:val="15"/>
              </w:rPr>
              <w:t>#</w:t>
            </w:r>
          </w:p>
        </w:tc>
        <w:tc>
          <w:tcPr>
            <w:tcW w:type="dxa" w:w="2041"/>
            <w:shd w:val="clear" w:color="auto" w:fill="4F2D7F"/>
            <w:vAlign w:val="center"/>
          </w:tcPr>
          <w:p>
            <w:r/>
            <w:r>
              <w:rPr>
                <w:b/>
                <w:color w:val="FFFFFF"/>
                <w:sz w:val="15"/>
              </w:rPr>
              <w:t>Factor</w:t>
            </w:r>
          </w:p>
        </w:tc>
        <w:tc>
          <w:tcPr>
            <w:tcW w:type="dxa" w:w="737"/>
            <w:shd w:val="clear" w:color="auto" w:fill="4F2D7F"/>
            <w:vAlign w:val="center"/>
          </w:tcPr>
          <w:p>
            <w:r/>
            <w:r>
              <w:rPr>
                <w:b/>
                <w:color w:val="FFFFFF"/>
                <w:sz w:val="15"/>
              </w:rPr>
              <w:t>Weight</w:t>
            </w:r>
          </w:p>
        </w:tc>
        <w:tc>
          <w:tcPr>
            <w:tcW w:type="dxa" w:w="3005"/>
            <w:shd w:val="clear" w:color="auto" w:fill="4F2D7F"/>
            <w:vAlign w:val="center"/>
          </w:tcPr>
          <w:p>
            <w:r/>
            <w:r>
              <w:rPr>
                <w:b/>
                <w:color w:val="FFFFFF"/>
                <w:sz w:val="15"/>
              </w:rPr>
              <w:t>Level 0 (lowest)</w:t>
            </w:r>
          </w:p>
        </w:tc>
        <w:tc>
          <w:tcPr>
            <w:tcW w:type="dxa" w:w="3288"/>
            <w:shd w:val="clear" w:color="auto" w:fill="4F2D7F"/>
            <w:vAlign w:val="center"/>
          </w:tcPr>
          <w:p>
            <w:r/>
            <w:r>
              <w:rPr>
                <w:b/>
                <w:color w:val="FFFFFF"/>
                <w:sz w:val="15"/>
              </w:rPr>
              <w:t>Level 4 (highest)</w:t>
            </w:r>
          </w:p>
        </w:tc>
      </w:tr>
      <w:tr>
        <w:tc>
          <w:tcPr>
            <w:tcW w:type="dxa" w:w="567"/>
          </w:tcPr>
          <w:p>
            <w:pPr>
              <w:spacing w:after="20"/>
            </w:pPr>
            <w:r/>
            <w:r>
              <w:rPr>
                <w:sz w:val="15"/>
              </w:rPr>
              <w:t>T1</w:t>
            </w:r>
          </w:p>
        </w:tc>
        <w:tc>
          <w:tcPr>
            <w:tcW w:type="dxa" w:w="2041"/>
          </w:tcPr>
          <w:p>
            <w:pPr>
              <w:spacing w:after="20"/>
            </w:pPr>
            <w:r/>
            <w:r>
              <w:rPr>
                <w:sz w:val="15"/>
              </w:rPr>
              <w:t>Impact of decisions on individuals</w:t>
            </w:r>
          </w:p>
        </w:tc>
        <w:tc>
          <w:tcPr>
            <w:tcW w:type="dxa" w:w="737"/>
          </w:tcPr>
          <w:p>
            <w:pPr>
              <w:spacing w:after="20"/>
            </w:pPr>
            <w:r/>
            <w:r>
              <w:rPr>
                <w:sz w:val="15"/>
              </w:rPr>
              <w:t>3</w:t>
            </w:r>
          </w:p>
        </w:tc>
        <w:tc>
          <w:tcPr>
            <w:tcW w:type="dxa" w:w="3005"/>
          </w:tcPr>
          <w:p>
            <w:pPr>
              <w:spacing w:after="20"/>
            </w:pPr>
            <w:r/>
            <w:r>
              <w:rPr>
                <w:sz w:val="15"/>
              </w:rPr>
              <w:t>No decisions about individuals (e.g., internal content drafting, code assistance)</w:t>
            </w:r>
          </w:p>
        </w:tc>
        <w:tc>
          <w:tcPr>
            <w:tcW w:type="dxa" w:w="3288"/>
          </w:tcPr>
          <w:p>
            <w:pPr>
              <w:spacing w:after="20"/>
            </w:pPr>
            <w:r/>
            <w:r>
              <w:rPr>
                <w:sz w:val="15"/>
              </w:rPr>
              <w:t>Makes or determines decisions with legal or similarly significant effects (credit, hiring, eligibility, health, law enforcement)</w:t>
            </w:r>
          </w:p>
        </w:tc>
      </w:tr>
      <w:tr>
        <w:tc>
          <w:tcPr>
            <w:tcW w:type="dxa" w:w="567"/>
            <w:shd w:val="clear" w:color="auto" w:fill="F7F4FB"/>
          </w:tcPr>
          <w:p>
            <w:pPr>
              <w:spacing w:after="20"/>
            </w:pPr>
            <w:r/>
            <w:r>
              <w:rPr>
                <w:sz w:val="15"/>
              </w:rPr>
              <w:t>T2</w:t>
            </w:r>
          </w:p>
        </w:tc>
        <w:tc>
          <w:tcPr>
            <w:tcW w:type="dxa" w:w="2041"/>
            <w:shd w:val="clear" w:color="auto" w:fill="F7F4FB"/>
          </w:tcPr>
          <w:p>
            <w:pPr>
              <w:spacing w:after="20"/>
            </w:pPr>
            <w:r/>
            <w:r>
              <w:rPr>
                <w:sz w:val="15"/>
              </w:rPr>
              <w:t>Autonomy &amp; human oversight</w:t>
            </w:r>
          </w:p>
        </w:tc>
        <w:tc>
          <w:tcPr>
            <w:tcW w:type="dxa" w:w="737"/>
            <w:shd w:val="clear" w:color="auto" w:fill="F7F4FB"/>
          </w:tcPr>
          <w:p>
            <w:pPr>
              <w:spacing w:after="20"/>
            </w:pPr>
            <w:r/>
            <w:r>
              <w:rPr>
                <w:sz w:val="15"/>
              </w:rPr>
              <w:t>3</w:t>
            </w:r>
          </w:p>
        </w:tc>
        <w:tc>
          <w:tcPr>
            <w:tcW w:type="dxa" w:w="3005"/>
            <w:shd w:val="clear" w:color="auto" w:fill="F7F4FB"/>
          </w:tcPr>
          <w:p>
            <w:pPr>
              <w:spacing w:after="20"/>
            </w:pPr>
            <w:r/>
            <w:r>
              <w:rPr>
                <w:sz w:val="15"/>
              </w:rPr>
              <w:t>AI provides information only; humans make all decisions</w:t>
            </w:r>
          </w:p>
        </w:tc>
        <w:tc>
          <w:tcPr>
            <w:tcW w:type="dxa" w:w="3288"/>
            <w:shd w:val="clear" w:color="auto" w:fill="F7F4FB"/>
          </w:tcPr>
          <w:p>
            <w:pPr>
              <w:spacing w:after="20"/>
            </w:pPr>
            <w:r/>
            <w:r>
              <w:rPr>
                <w:sz w:val="15"/>
              </w:rPr>
              <w:t>AI agent acts autonomously on systems / external parties with no practical real-time intervention</w:t>
            </w:r>
          </w:p>
        </w:tc>
      </w:tr>
      <w:tr>
        <w:tc>
          <w:tcPr>
            <w:tcW w:type="dxa" w:w="567"/>
          </w:tcPr>
          <w:p>
            <w:pPr>
              <w:spacing w:after="20"/>
            </w:pPr>
            <w:r/>
            <w:r>
              <w:rPr>
                <w:sz w:val="15"/>
              </w:rPr>
              <w:t>T3</w:t>
            </w:r>
          </w:p>
        </w:tc>
        <w:tc>
          <w:tcPr>
            <w:tcW w:type="dxa" w:w="2041"/>
          </w:tcPr>
          <w:p>
            <w:pPr>
              <w:spacing w:after="20"/>
            </w:pPr>
            <w:r/>
            <w:r>
              <w:rPr>
                <w:sz w:val="15"/>
              </w:rPr>
              <w:t>Data sensitivity</w:t>
            </w:r>
          </w:p>
        </w:tc>
        <w:tc>
          <w:tcPr>
            <w:tcW w:type="dxa" w:w="737"/>
          </w:tcPr>
          <w:p>
            <w:pPr>
              <w:spacing w:after="20"/>
            </w:pPr>
            <w:r/>
            <w:r>
              <w:rPr>
                <w:sz w:val="15"/>
              </w:rPr>
              <w:t>2</w:t>
            </w:r>
          </w:p>
        </w:tc>
        <w:tc>
          <w:tcPr>
            <w:tcW w:type="dxa" w:w="3005"/>
          </w:tcPr>
          <w:p>
            <w:pPr>
              <w:spacing w:after="20"/>
            </w:pPr>
            <w:r/>
            <w:r>
              <w:rPr>
                <w:sz w:val="15"/>
              </w:rPr>
              <w:t>Public or synthetic data only</w:t>
            </w:r>
          </w:p>
        </w:tc>
        <w:tc>
          <w:tcPr>
            <w:tcW w:type="dxa" w:w="3288"/>
          </w:tcPr>
          <w:p>
            <w:pPr>
              <w:spacing w:after="20"/>
            </w:pPr>
            <w:r/>
            <w:r>
              <w:rPr>
                <w:sz w:val="15"/>
              </w:rPr>
              <w:t>Sensitive personal data (health, biometric, financial, children, criminal) or regulated/classified data</w:t>
            </w:r>
          </w:p>
        </w:tc>
      </w:tr>
      <w:tr>
        <w:tc>
          <w:tcPr>
            <w:tcW w:type="dxa" w:w="567"/>
            <w:shd w:val="clear" w:color="auto" w:fill="F7F4FB"/>
          </w:tcPr>
          <w:p>
            <w:pPr>
              <w:spacing w:after="20"/>
            </w:pPr>
            <w:r/>
            <w:r>
              <w:rPr>
                <w:sz w:val="15"/>
              </w:rPr>
              <w:t>T4</w:t>
            </w:r>
          </w:p>
        </w:tc>
        <w:tc>
          <w:tcPr>
            <w:tcW w:type="dxa" w:w="2041"/>
            <w:shd w:val="clear" w:color="auto" w:fill="F7F4FB"/>
          </w:tcPr>
          <w:p>
            <w:pPr>
              <w:spacing w:after="20"/>
            </w:pPr>
            <w:r/>
            <w:r>
              <w:rPr>
                <w:sz w:val="15"/>
              </w:rPr>
              <w:t>Scale &amp; reach</w:t>
            </w:r>
          </w:p>
        </w:tc>
        <w:tc>
          <w:tcPr>
            <w:tcW w:type="dxa" w:w="737"/>
            <w:shd w:val="clear" w:color="auto" w:fill="F7F4FB"/>
          </w:tcPr>
          <w:p>
            <w:pPr>
              <w:spacing w:after="20"/>
            </w:pPr>
            <w:r/>
            <w:r>
              <w:rPr>
                <w:sz w:val="15"/>
              </w:rPr>
              <w:t>1</w:t>
            </w:r>
          </w:p>
        </w:tc>
        <w:tc>
          <w:tcPr>
            <w:tcW w:type="dxa" w:w="3005"/>
            <w:shd w:val="clear" w:color="auto" w:fill="F7F4FB"/>
          </w:tcPr>
          <w:p>
            <w:pPr>
              <w:spacing w:after="20"/>
            </w:pPr>
            <w:r/>
            <w:r>
              <w:rPr>
                <w:sz w:val="15"/>
              </w:rPr>
              <w:t>Fewer than 10 internal users; pilot</w:t>
            </w:r>
          </w:p>
        </w:tc>
        <w:tc>
          <w:tcPr>
            <w:tcW w:type="dxa" w:w="3288"/>
            <w:shd w:val="clear" w:color="auto" w:fill="F7F4FB"/>
          </w:tcPr>
          <w:p>
            <w:pPr>
              <w:spacing w:after="20"/>
            </w:pPr>
            <w:r/>
            <w:r>
              <w:rPr>
                <w:sz w:val="15"/>
              </w:rPr>
              <w:t>Large-scale public or market-wide impact (&gt; 10,000 people)</w:t>
            </w:r>
          </w:p>
        </w:tc>
      </w:tr>
      <w:tr>
        <w:tc>
          <w:tcPr>
            <w:tcW w:type="dxa" w:w="567"/>
          </w:tcPr>
          <w:p>
            <w:pPr>
              <w:spacing w:after="20"/>
            </w:pPr>
            <w:r/>
            <w:r>
              <w:rPr>
                <w:sz w:val="15"/>
              </w:rPr>
              <w:t>T5</w:t>
            </w:r>
          </w:p>
        </w:tc>
        <w:tc>
          <w:tcPr>
            <w:tcW w:type="dxa" w:w="2041"/>
          </w:tcPr>
          <w:p>
            <w:pPr>
              <w:spacing w:after="20"/>
            </w:pPr>
            <w:r/>
            <w:r>
              <w:rPr>
                <w:sz w:val="15"/>
              </w:rPr>
              <w:t>Reversibility of outcomes</w:t>
            </w:r>
          </w:p>
        </w:tc>
        <w:tc>
          <w:tcPr>
            <w:tcW w:type="dxa" w:w="737"/>
          </w:tcPr>
          <w:p>
            <w:pPr>
              <w:spacing w:after="20"/>
            </w:pPr>
            <w:r/>
            <w:r>
              <w:rPr>
                <w:sz w:val="15"/>
              </w:rPr>
              <w:t>2</w:t>
            </w:r>
          </w:p>
        </w:tc>
        <w:tc>
          <w:tcPr>
            <w:tcW w:type="dxa" w:w="3005"/>
          </w:tcPr>
          <w:p>
            <w:pPr>
              <w:spacing w:after="20"/>
            </w:pPr>
            <w:r/>
            <w:r>
              <w:rPr>
                <w:sz w:val="15"/>
              </w:rPr>
              <w:t>Outputs are advisory drafts with no direct effect</w:t>
            </w:r>
          </w:p>
        </w:tc>
        <w:tc>
          <w:tcPr>
            <w:tcW w:type="dxa" w:w="3288"/>
          </w:tcPr>
          <w:p>
            <w:pPr>
              <w:spacing w:after="20"/>
            </w:pPr>
            <w:r/>
            <w:r>
              <w:rPr>
                <w:sz w:val="15"/>
              </w:rPr>
              <w:t>Irreversible harm possible (safety, liberty, significant financial loss)</w:t>
            </w:r>
          </w:p>
        </w:tc>
      </w:tr>
      <w:tr>
        <w:tc>
          <w:tcPr>
            <w:tcW w:type="dxa" w:w="567"/>
            <w:shd w:val="clear" w:color="auto" w:fill="F7F4FB"/>
          </w:tcPr>
          <w:p>
            <w:pPr>
              <w:spacing w:after="20"/>
            </w:pPr>
            <w:r/>
            <w:r>
              <w:rPr>
                <w:sz w:val="15"/>
              </w:rPr>
              <w:t>T6</w:t>
            </w:r>
          </w:p>
        </w:tc>
        <w:tc>
          <w:tcPr>
            <w:tcW w:type="dxa" w:w="2041"/>
            <w:shd w:val="clear" w:color="auto" w:fill="F7F4FB"/>
          </w:tcPr>
          <w:p>
            <w:pPr>
              <w:spacing w:after="20"/>
            </w:pPr>
            <w:r/>
            <w:r>
              <w:rPr>
                <w:sz w:val="15"/>
              </w:rPr>
              <w:t>Vulnerable groups affected</w:t>
            </w:r>
          </w:p>
        </w:tc>
        <w:tc>
          <w:tcPr>
            <w:tcW w:type="dxa" w:w="737"/>
            <w:shd w:val="clear" w:color="auto" w:fill="F7F4FB"/>
          </w:tcPr>
          <w:p>
            <w:pPr>
              <w:spacing w:after="20"/>
            </w:pPr>
            <w:r/>
            <w:r>
              <w:rPr>
                <w:sz w:val="15"/>
              </w:rPr>
              <w:t>2</w:t>
            </w:r>
          </w:p>
        </w:tc>
        <w:tc>
          <w:tcPr>
            <w:tcW w:type="dxa" w:w="3005"/>
            <w:shd w:val="clear" w:color="auto" w:fill="F7F4FB"/>
          </w:tcPr>
          <w:p>
            <w:pPr>
              <w:spacing w:after="20"/>
            </w:pPr>
            <w:r/>
            <w:r>
              <w:rPr>
                <w:sz w:val="15"/>
              </w:rPr>
              <w:t>No individuals affected</w:t>
            </w:r>
          </w:p>
        </w:tc>
        <w:tc>
          <w:tcPr>
            <w:tcW w:type="dxa" w:w="3288"/>
            <w:shd w:val="clear" w:color="auto" w:fill="F7F4FB"/>
          </w:tcPr>
          <w:p>
            <w:pPr>
              <w:spacing w:after="20"/>
            </w:pPr>
            <w:r/>
            <w:r>
              <w:rPr>
                <w:sz w:val="15"/>
              </w:rPr>
              <w:t>Children, patients, persons in financial distress or other highly vulnerable persons</w:t>
            </w:r>
          </w:p>
        </w:tc>
      </w:tr>
      <w:tr>
        <w:tc>
          <w:tcPr>
            <w:tcW w:type="dxa" w:w="567"/>
          </w:tcPr>
          <w:p>
            <w:pPr>
              <w:spacing w:after="20"/>
            </w:pPr>
            <w:r/>
            <w:r>
              <w:rPr>
                <w:sz w:val="15"/>
              </w:rPr>
              <w:t>T7</w:t>
            </w:r>
          </w:p>
        </w:tc>
        <w:tc>
          <w:tcPr>
            <w:tcW w:type="dxa" w:w="2041"/>
          </w:tcPr>
          <w:p>
            <w:pPr>
              <w:spacing w:after="20"/>
            </w:pPr>
            <w:r/>
            <w:r>
              <w:rPr>
                <w:sz w:val="15"/>
              </w:rPr>
              <w:t>Regulatory classification &amp; sector criticality</w:t>
            </w:r>
          </w:p>
        </w:tc>
        <w:tc>
          <w:tcPr>
            <w:tcW w:type="dxa" w:w="737"/>
          </w:tcPr>
          <w:p>
            <w:pPr>
              <w:spacing w:after="20"/>
            </w:pPr>
            <w:r/>
            <w:r>
              <w:rPr>
                <w:sz w:val="15"/>
              </w:rPr>
              <w:t>2</w:t>
            </w:r>
          </w:p>
        </w:tc>
        <w:tc>
          <w:tcPr>
            <w:tcW w:type="dxa" w:w="3005"/>
          </w:tcPr>
          <w:p>
            <w:pPr>
              <w:spacing w:after="20"/>
            </w:pPr>
            <w:r/>
            <w:r>
              <w:rPr>
                <w:sz w:val="15"/>
              </w:rPr>
              <w:t>Unregulated, non-critical activity</w:t>
            </w:r>
          </w:p>
        </w:tc>
        <w:tc>
          <w:tcPr>
            <w:tcW w:type="dxa" w:w="3288"/>
          </w:tcPr>
          <w:p>
            <w:pPr>
              <w:spacing w:after="20"/>
            </w:pPr>
            <w:r/>
            <w:r>
              <w:rPr>
                <w:sz w:val="15"/>
              </w:rPr>
              <w:t>High-risk AI classification (e.g., EU AI Act Annex III) or critical infrastructure</w:t>
            </w:r>
          </w:p>
        </w:tc>
      </w:tr>
      <w:tr>
        <w:tc>
          <w:tcPr>
            <w:tcW w:type="dxa" w:w="567"/>
            <w:shd w:val="clear" w:color="auto" w:fill="F7F4FB"/>
          </w:tcPr>
          <w:p>
            <w:pPr>
              <w:spacing w:after="20"/>
            </w:pPr>
            <w:r/>
            <w:r>
              <w:rPr>
                <w:sz w:val="15"/>
              </w:rPr>
              <w:t>T8</w:t>
            </w:r>
          </w:p>
        </w:tc>
        <w:tc>
          <w:tcPr>
            <w:tcW w:type="dxa" w:w="2041"/>
            <w:shd w:val="clear" w:color="auto" w:fill="F7F4FB"/>
          </w:tcPr>
          <w:p>
            <w:pPr>
              <w:spacing w:after="20"/>
            </w:pPr>
            <w:r/>
            <w:r>
              <w:rPr>
                <w:sz w:val="15"/>
              </w:rPr>
              <w:t>Technology novelty &amp; opacity</w:t>
            </w:r>
          </w:p>
        </w:tc>
        <w:tc>
          <w:tcPr>
            <w:tcW w:type="dxa" w:w="737"/>
            <w:shd w:val="clear" w:color="auto" w:fill="F7F4FB"/>
          </w:tcPr>
          <w:p>
            <w:pPr>
              <w:spacing w:after="20"/>
            </w:pPr>
            <w:r/>
            <w:r>
              <w:rPr>
                <w:sz w:val="15"/>
              </w:rPr>
              <w:t>1</w:t>
            </w:r>
          </w:p>
        </w:tc>
        <w:tc>
          <w:tcPr>
            <w:tcW w:type="dxa" w:w="3005"/>
            <w:shd w:val="clear" w:color="auto" w:fill="F7F4FB"/>
          </w:tcPr>
          <w:p>
            <w:pPr>
              <w:spacing w:after="20"/>
            </w:pPr>
            <w:r/>
            <w:r>
              <w:rPr>
                <w:sz w:val="15"/>
              </w:rPr>
              <w:t>Rules-based / deterministic automation</w:t>
            </w:r>
          </w:p>
        </w:tc>
        <w:tc>
          <w:tcPr>
            <w:tcW w:type="dxa" w:w="3288"/>
            <w:shd w:val="clear" w:color="auto" w:fill="F7F4FB"/>
          </w:tcPr>
          <w:p>
            <w:pPr>
              <w:spacing w:after="20"/>
            </w:pPr>
            <w:r/>
            <w:r>
              <w:rPr>
                <w:sz w:val="15"/>
              </w:rPr>
              <w:t>Agentic or multi-model AI ecosystem, self-learning in production</w:t>
            </w:r>
          </w:p>
        </w:tc>
      </w:tr>
      <w:tr>
        <w:tc>
          <w:tcPr>
            <w:tcW w:type="dxa" w:w="567"/>
          </w:tcPr>
          <w:p>
            <w:pPr>
              <w:spacing w:after="20"/>
            </w:pPr>
            <w:r/>
            <w:r>
              <w:rPr>
                <w:sz w:val="15"/>
              </w:rPr>
              <w:t>T9</w:t>
            </w:r>
          </w:p>
        </w:tc>
        <w:tc>
          <w:tcPr>
            <w:tcW w:type="dxa" w:w="2041"/>
          </w:tcPr>
          <w:p>
            <w:pPr>
              <w:spacing w:after="20"/>
            </w:pPr>
            <w:r/>
            <w:r>
              <w:rPr>
                <w:sz w:val="15"/>
              </w:rPr>
              <w:t>External exposure</w:t>
            </w:r>
          </w:p>
        </w:tc>
        <w:tc>
          <w:tcPr>
            <w:tcW w:type="dxa" w:w="737"/>
          </w:tcPr>
          <w:p>
            <w:pPr>
              <w:spacing w:after="20"/>
            </w:pPr>
            <w:r/>
            <w:r>
              <w:rPr>
                <w:sz w:val="15"/>
              </w:rPr>
              <w:t>1</w:t>
            </w:r>
          </w:p>
        </w:tc>
        <w:tc>
          <w:tcPr>
            <w:tcW w:type="dxa" w:w="3005"/>
          </w:tcPr>
          <w:p>
            <w:pPr>
              <w:spacing w:after="20"/>
            </w:pPr>
            <w:r/>
            <w:r>
              <w:rPr>
                <w:sz w:val="15"/>
              </w:rPr>
              <w:t>Offline / isolated system</w:t>
            </w:r>
          </w:p>
        </w:tc>
        <w:tc>
          <w:tcPr>
            <w:tcW w:type="dxa" w:w="3288"/>
          </w:tcPr>
          <w:p>
            <w:pPr>
              <w:spacing w:after="20"/>
            </w:pPr>
            <w:r/>
            <w:r>
              <w:rPr>
                <w:sz w:val="15"/>
              </w:rPr>
              <w:t>Public-facing and able to act on external systems / third parties</w:t>
            </w:r>
          </w:p>
        </w:tc>
      </w:tr>
      <w:tr>
        <w:tc>
          <w:tcPr>
            <w:tcW w:type="dxa" w:w="567"/>
            <w:shd w:val="clear" w:color="auto" w:fill="F7F4FB"/>
          </w:tcPr>
          <w:p>
            <w:pPr>
              <w:spacing w:after="20"/>
            </w:pPr>
            <w:r/>
            <w:r>
              <w:rPr>
                <w:sz w:val="15"/>
              </w:rPr>
              <w:t>T10</w:t>
            </w:r>
          </w:p>
        </w:tc>
        <w:tc>
          <w:tcPr>
            <w:tcW w:type="dxa" w:w="2041"/>
            <w:shd w:val="clear" w:color="auto" w:fill="F7F4FB"/>
          </w:tcPr>
          <w:p>
            <w:pPr>
              <w:spacing w:after="20"/>
            </w:pPr>
            <w:r/>
            <w:r>
              <w:rPr>
                <w:sz w:val="15"/>
              </w:rPr>
              <w:t>Third-party dependence</w:t>
            </w:r>
          </w:p>
        </w:tc>
        <w:tc>
          <w:tcPr>
            <w:tcW w:type="dxa" w:w="737"/>
            <w:shd w:val="clear" w:color="auto" w:fill="F7F4FB"/>
          </w:tcPr>
          <w:p>
            <w:pPr>
              <w:spacing w:after="20"/>
            </w:pPr>
            <w:r/>
            <w:r>
              <w:rPr>
                <w:sz w:val="15"/>
              </w:rPr>
              <w:t>1</w:t>
            </w:r>
          </w:p>
        </w:tc>
        <w:tc>
          <w:tcPr>
            <w:tcW w:type="dxa" w:w="3005"/>
            <w:shd w:val="clear" w:color="auto" w:fill="F7F4FB"/>
          </w:tcPr>
          <w:p>
            <w:pPr>
              <w:spacing w:after="20"/>
            </w:pPr>
            <w:r/>
            <w:r>
              <w:rPr>
                <w:sz w:val="15"/>
              </w:rPr>
              <w:t>Fully in-house model and infrastructure</w:t>
            </w:r>
          </w:p>
        </w:tc>
        <w:tc>
          <w:tcPr>
            <w:tcW w:type="dxa" w:w="3288"/>
            <w:shd w:val="clear" w:color="auto" w:fill="F7F4FB"/>
          </w:tcPr>
          <w:p>
            <w:pPr>
              <w:spacing w:after="20"/>
            </w:pPr>
            <w:r/>
            <w:r>
              <w:rPr>
                <w:sz w:val="15"/>
              </w:rPr>
              <w:t>Critical dependence on a single opaque third-party AI provider</w:t>
            </w:r>
          </w:p>
        </w:tc>
      </w:tr>
    </w:tbl>
    <w:p>
      <w:pPr>
        <w:spacing w:after="40"/>
      </w:pPr>
    </w:p>
    <w:p>
      <w:r>
        <w:rPr>
          <w:b/>
          <w:i w:val="0"/>
        </w:rPr>
        <w:t>Tier thresholds and override rules: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020"/>
        <w:gridCol w:w="907"/>
        <w:gridCol w:w="3855"/>
        <w:gridCol w:w="2041"/>
        <w:gridCol w:w="1814"/>
      </w:tblGrid>
      <w:tr>
        <w:trPr>
          <w:tblHeader w:val="true"/>
        </w:trPr>
        <w:tc>
          <w:tcPr>
            <w:tcW w:type="dxa" w:w="1020"/>
            <w:shd w:val="clear" w:color="auto" w:fill="4F2D7F"/>
            <w:vAlign w:val="center"/>
          </w:tcPr>
          <w:p>
            <w:r/>
            <w:r>
              <w:rPr>
                <w:b/>
                <w:color w:val="FFFFFF"/>
                <w:sz w:val="16"/>
              </w:rPr>
              <w:t>Tier</w:t>
            </w:r>
          </w:p>
        </w:tc>
        <w:tc>
          <w:tcPr>
            <w:tcW w:type="dxa" w:w="907"/>
            <w:shd w:val="clear" w:color="auto" w:fill="4F2D7F"/>
            <w:vAlign w:val="center"/>
          </w:tcPr>
          <w:p>
            <w:r/>
            <w:r>
              <w:rPr>
                <w:b/>
                <w:color w:val="FFFFFF"/>
                <w:sz w:val="16"/>
              </w:rPr>
              <w:t>Score</w:t>
            </w:r>
          </w:p>
        </w:tc>
        <w:tc>
          <w:tcPr>
            <w:tcW w:type="dxa" w:w="3855"/>
            <w:shd w:val="clear" w:color="auto" w:fill="4F2D7F"/>
            <w:vAlign w:val="center"/>
          </w:tcPr>
          <w:p>
            <w:r/>
            <w:r>
              <w:rPr>
                <w:b/>
                <w:color w:val="FFFFFF"/>
                <w:sz w:val="16"/>
              </w:rPr>
              <w:t>Assessment requirements</w:t>
            </w:r>
          </w:p>
        </w:tc>
        <w:tc>
          <w:tcPr>
            <w:tcW w:type="dxa" w:w="2041"/>
            <w:shd w:val="clear" w:color="auto" w:fill="4F2D7F"/>
            <w:vAlign w:val="center"/>
          </w:tcPr>
          <w:p>
            <w:r/>
            <w:r>
              <w:rPr>
                <w:b/>
                <w:color w:val="FFFFFF"/>
                <w:sz w:val="16"/>
              </w:rPr>
              <w:t>Approval authority</w:t>
            </w:r>
          </w:p>
        </w:tc>
        <w:tc>
          <w:tcPr>
            <w:tcW w:type="dxa" w:w="1814"/>
            <w:shd w:val="clear" w:color="auto" w:fill="4F2D7F"/>
            <w:vAlign w:val="center"/>
          </w:tcPr>
          <w:p>
            <w:r/>
            <w:r>
              <w:rPr>
                <w:b/>
                <w:color w:val="FFFFFF"/>
                <w:sz w:val="16"/>
              </w:rPr>
              <w:t>Review</w:t>
            </w:r>
          </w:p>
        </w:tc>
      </w:tr>
      <w:tr>
        <w:tc>
          <w:tcPr>
            <w:tcW w:type="dxa" w:w="1020"/>
            <w:shd w:val="clear" w:color="auto" w:fill="C6E0B4"/>
          </w:tcPr>
          <w:p>
            <w:pPr>
              <w:spacing w:after="20"/>
            </w:pPr>
            <w:r/>
            <w:r>
              <w:rPr>
                <w:b/>
                <w:sz w:val="16"/>
              </w:rPr>
              <w:t>Low</w:t>
            </w:r>
          </w:p>
        </w:tc>
        <w:tc>
          <w:tcPr>
            <w:tcW w:type="dxa" w:w="907"/>
          </w:tcPr>
          <w:p>
            <w:pPr>
              <w:spacing w:after="20"/>
            </w:pPr>
            <w:r/>
            <w:r>
              <w:rPr>
                <w:sz w:val="16"/>
              </w:rPr>
              <w:t>0-24</w:t>
            </w:r>
          </w:p>
        </w:tc>
        <w:tc>
          <w:tcPr>
            <w:tcW w:type="dxa" w:w="3855"/>
          </w:tcPr>
          <w:p>
            <w:pPr>
              <w:spacing w:after="20"/>
            </w:pPr>
            <w:r/>
            <w:r>
              <w:rPr>
                <w:sz w:val="16"/>
              </w:rPr>
              <w:t>Self-managed by use-case owner; lightweight assessment; register entry.</w:t>
            </w:r>
          </w:p>
        </w:tc>
        <w:tc>
          <w:tcPr>
            <w:tcW w:type="dxa" w:w="2041"/>
          </w:tcPr>
          <w:p>
            <w:pPr>
              <w:spacing w:after="20"/>
            </w:pPr>
            <w:r/>
            <w:r>
              <w:rPr>
                <w:sz w:val="16"/>
              </w:rPr>
              <w:t>Use-case owner</w:t>
            </w:r>
          </w:p>
        </w:tc>
        <w:tc>
          <w:tcPr>
            <w:tcW w:type="dxa" w:w="1814"/>
          </w:tcPr>
          <w:p>
            <w:pPr>
              <w:spacing w:after="20"/>
            </w:pPr>
            <w:r/>
            <w:r>
              <w:rPr>
                <w:sz w:val="16"/>
              </w:rPr>
              <w:t>Every 24 months or on material change</w:t>
            </w:r>
          </w:p>
        </w:tc>
      </w:tr>
      <w:tr>
        <w:tc>
          <w:tcPr>
            <w:tcW w:type="dxa" w:w="1020"/>
            <w:shd w:val="clear" w:color="auto" w:fill="F7F4FB"/>
            <w:shd w:val="clear" w:color="auto" w:fill="FFE699"/>
          </w:tcPr>
          <w:p>
            <w:pPr>
              <w:spacing w:after="20"/>
            </w:pPr>
            <w:r/>
            <w:r>
              <w:rPr>
                <w:b/>
                <w:sz w:val="16"/>
              </w:rPr>
              <w:t>Medium</w:t>
            </w:r>
          </w:p>
        </w:tc>
        <w:tc>
          <w:tcPr>
            <w:tcW w:type="dxa" w:w="907"/>
            <w:shd w:val="clear" w:color="auto" w:fill="F7F4FB"/>
          </w:tcPr>
          <w:p>
            <w:pPr>
              <w:spacing w:after="20"/>
            </w:pPr>
            <w:r/>
            <w:r>
              <w:rPr>
                <w:sz w:val="16"/>
              </w:rPr>
              <w:t>&gt;= 25</w:t>
            </w:r>
          </w:p>
        </w:tc>
        <w:tc>
          <w:tcPr>
            <w:tcW w:type="dxa" w:w="3855"/>
            <w:shd w:val="clear" w:color="auto" w:fill="F7F4FB"/>
          </w:tcPr>
          <w:p>
            <w:pPr>
              <w:spacing w:after="20"/>
            </w:pPr>
            <w:r/>
            <w:r>
              <w:rPr>
                <w:sz w:val="16"/>
              </w:rPr>
              <w:t>Standard risk assessment; SME review (privacy, security, data); documented controls.</w:t>
            </w:r>
          </w:p>
        </w:tc>
        <w:tc>
          <w:tcPr>
            <w:tcW w:type="dxa" w:w="2041"/>
            <w:shd w:val="clear" w:color="auto" w:fill="F7F4FB"/>
          </w:tcPr>
          <w:p>
            <w:pPr>
              <w:spacing w:after="20"/>
            </w:pPr>
            <w:r/>
            <w:r>
              <w:rPr>
                <w:sz w:val="16"/>
              </w:rPr>
              <w:t>Head of function + Risk (2nd line) review</w:t>
            </w:r>
          </w:p>
        </w:tc>
        <w:tc>
          <w:tcPr>
            <w:tcW w:type="dxa" w:w="1814"/>
            <w:shd w:val="clear" w:color="auto" w:fill="F7F4FB"/>
          </w:tcPr>
          <w:p>
            <w:pPr>
              <w:spacing w:after="20"/>
            </w:pPr>
            <w:r/>
            <w:r>
              <w:rPr>
                <w:sz w:val="16"/>
              </w:rPr>
              <w:t>Every 12 months or on material change</w:t>
            </w:r>
          </w:p>
        </w:tc>
      </w:tr>
      <w:tr>
        <w:tc>
          <w:tcPr>
            <w:tcW w:type="dxa" w:w="1020"/>
            <w:shd w:val="clear" w:color="auto" w:fill="F4B183"/>
          </w:tcPr>
          <w:p>
            <w:pPr>
              <w:spacing w:after="20"/>
            </w:pPr>
            <w:r/>
            <w:r>
              <w:rPr>
                <w:b/>
                <w:sz w:val="16"/>
              </w:rPr>
              <w:t>High</w:t>
            </w:r>
          </w:p>
        </w:tc>
        <w:tc>
          <w:tcPr>
            <w:tcW w:type="dxa" w:w="907"/>
          </w:tcPr>
          <w:p>
            <w:pPr>
              <w:spacing w:after="20"/>
            </w:pPr>
            <w:r/>
            <w:r>
              <w:rPr>
                <w:sz w:val="16"/>
              </w:rPr>
              <w:t>&gt;= 50</w:t>
            </w:r>
          </w:p>
        </w:tc>
        <w:tc>
          <w:tcPr>
            <w:tcW w:type="dxa" w:w="3855"/>
          </w:tcPr>
          <w:p>
            <w:pPr>
              <w:spacing w:after="20"/>
            </w:pPr>
            <w:r/>
            <w:r>
              <w:rPr>
                <w:sz w:val="16"/>
              </w:rPr>
              <w:t>Full risk &amp; impact assessment (ISO/IEC 42005 / FRIA where required); independent validation; AI Committee approval.</w:t>
            </w:r>
          </w:p>
        </w:tc>
        <w:tc>
          <w:tcPr>
            <w:tcW w:type="dxa" w:w="2041"/>
          </w:tcPr>
          <w:p>
            <w:pPr>
              <w:spacing w:after="20"/>
            </w:pPr>
            <w:r/>
            <w:r>
              <w:rPr>
                <w:sz w:val="16"/>
              </w:rPr>
              <w:t>AI Committee / CoE</w:t>
            </w:r>
          </w:p>
        </w:tc>
        <w:tc>
          <w:tcPr>
            <w:tcW w:type="dxa" w:w="1814"/>
          </w:tcPr>
          <w:p>
            <w:pPr>
              <w:spacing w:after="20"/>
            </w:pPr>
            <w:r/>
            <w:r>
              <w:rPr>
                <w:sz w:val="16"/>
              </w:rPr>
              <w:t>Every 6 months + continuous KRI monitoring</w:t>
            </w:r>
          </w:p>
        </w:tc>
      </w:tr>
      <w:tr>
        <w:tc>
          <w:tcPr>
            <w:tcW w:type="dxa" w:w="1020"/>
            <w:shd w:val="clear" w:color="auto" w:fill="F7F4FB"/>
            <w:shd w:val="clear" w:color="auto" w:fill="E06666"/>
          </w:tcPr>
          <w:p>
            <w:pPr>
              <w:spacing w:after="20"/>
            </w:pPr>
            <w:r/>
            <w:r>
              <w:rPr>
                <w:b/>
                <w:sz w:val="16"/>
              </w:rPr>
              <w:t>Critical</w:t>
            </w:r>
          </w:p>
        </w:tc>
        <w:tc>
          <w:tcPr>
            <w:tcW w:type="dxa" w:w="907"/>
            <w:shd w:val="clear" w:color="auto" w:fill="F7F4FB"/>
          </w:tcPr>
          <w:p>
            <w:pPr>
              <w:spacing w:after="20"/>
            </w:pPr>
            <w:r/>
            <w:r>
              <w:rPr>
                <w:sz w:val="16"/>
              </w:rPr>
              <w:t>&gt;= 75</w:t>
            </w:r>
          </w:p>
        </w:tc>
        <w:tc>
          <w:tcPr>
            <w:tcW w:type="dxa" w:w="3855"/>
            <w:shd w:val="clear" w:color="auto" w:fill="F7F4FB"/>
          </w:tcPr>
          <w:p>
            <w:pPr>
              <w:spacing w:after="20"/>
            </w:pPr>
            <w:r/>
            <w:r>
              <w:rPr>
                <w:sz w:val="16"/>
              </w:rPr>
              <w:t>As High plus legal review, executive sign-off, board notification, pre-deployment red teaming and staged rollout.</w:t>
            </w:r>
          </w:p>
        </w:tc>
        <w:tc>
          <w:tcPr>
            <w:tcW w:type="dxa" w:w="2041"/>
            <w:shd w:val="clear" w:color="auto" w:fill="F7F4FB"/>
          </w:tcPr>
          <w:p>
            <w:pPr>
              <w:spacing w:after="20"/>
            </w:pPr>
            <w:r/>
            <w:r>
              <w:rPr>
                <w:sz w:val="16"/>
              </w:rPr>
              <w:t>Executive Committee / Board Risk Committee</w:t>
            </w:r>
          </w:p>
        </w:tc>
        <w:tc>
          <w:tcPr>
            <w:tcW w:type="dxa" w:w="1814"/>
            <w:shd w:val="clear" w:color="auto" w:fill="F7F4FB"/>
          </w:tcPr>
          <w:p>
            <w:pPr>
              <w:spacing w:after="20"/>
            </w:pPr>
            <w:r/>
            <w:r>
              <w:rPr>
                <w:sz w:val="16"/>
              </w:rPr>
              <w:t>Quarterly + continuous KRI monitoring</w:t>
            </w:r>
          </w:p>
        </w:tc>
      </w:tr>
    </w:tbl>
    <w:p>
      <w:pPr>
        <w:spacing w:after="40"/>
      </w:pPr>
    </w:p>
    <w:p>
      <w:pPr>
        <w:pStyle w:val="ListBullet"/>
        <w:spacing w:after="40"/>
      </w:pPr>
      <w:r>
        <w:t>Decisions with legal or similarly significant effects (T1 = 4) or high-risk regulatory classification such as EU AI Act Annex III (T7 = 4) - minimum tier High.</w:t>
      </w:r>
    </w:p>
    <w:p>
      <w:pPr>
        <w:pStyle w:val="ListBullet"/>
        <w:spacing w:after="40"/>
      </w:pPr>
      <w:r>
        <w:t>Material decisions about individuals (T1 &gt;= 3) with limited human oversight (T2 &gt;= 3) - minimum tier High.</w:t>
      </w:r>
    </w:p>
    <w:p>
      <w:pPr>
        <w:pStyle w:val="ListBullet"/>
        <w:spacing w:after="40"/>
      </w:pPr>
      <w:r>
        <w:t>Significant-effect decisions made autonomously (T1 = 4 and T2 = 4) - tier Critical.</w:t>
      </w:r>
    </w:p>
    <w:p>
      <w:pPr>
        <w:pStyle w:val="ListBullet"/>
        <w:spacing w:after="40"/>
      </w:pPr>
      <w:r>
        <w:t>Processing of sensitive personal or regulated data (T3 = 4) - minimum tier Medium.</w:t>
      </w:r>
    </w:p>
    <w:p>
      <w:r>
        <w:rPr>
          <w:b w:val="0"/>
          <w:i/>
          <w:sz w:val="18"/>
        </w:rPr>
        <w:t>Override rules mirror the AIAF 'pattern risk' concept: certain combinations are high-risk regardless of the average score.</w:t>
      </w:r>
    </w:p>
    <w:p>
      <w:pPr>
        <w:pStyle w:val="Heading2"/>
      </w:pPr>
      <w:r>
        <w:t>Stage 2 - Risk identification</w:t>
      </w:r>
    </w:p>
    <w:p>
      <w:r>
        <w:rPr>
          <w:b w:val="0"/>
          <w:i w:val="0"/>
        </w:rPr>
        <w:t>Risks are identified by working systematically through the GT AI risk taxonomy (Section 7), supplemented by:</w:t>
      </w:r>
    </w:p>
    <w:p>
      <w:pPr>
        <w:pStyle w:val="ListBullet"/>
        <w:spacing w:after="40"/>
      </w:pPr>
      <w:r>
        <w:t>structured workshops with the use-case owner, data scientists, IT, risk, privacy, legal and business users;</w:t>
      </w:r>
    </w:p>
    <w:p>
      <w:pPr>
        <w:pStyle w:val="ListBullet"/>
        <w:spacing w:after="40"/>
      </w:pPr>
      <w:r>
        <w:t>an AI system impact assessment per ISO/IEC 42005 for High and Critical tiers - covering intended and unintended impacts on individuals, groups and society, and a Fundamental Rights Impact Assessment where EU AI Act Art. 27 applies;</w:t>
      </w:r>
    </w:p>
    <w:p>
      <w:pPr>
        <w:pStyle w:val="ListBullet"/>
        <w:spacing w:after="40"/>
      </w:pPr>
      <w:r>
        <w:t>threat modelling using OWASP LLM / Agentic Top 10 and MITRE ATLAS for systems with external exposure or agent capabilities - for agents, model every stage of the workflow (user input, retrieval, memory, inference, tool calls / APIs, human approvals, output delivery, tenant boundaries and privileged actions) as recommended by ISACA (2026);</w:t>
      </w:r>
    </w:p>
    <w:p>
      <w:pPr>
        <w:pStyle w:val="ListBullet"/>
        <w:spacing w:after="40"/>
      </w:pPr>
      <w:r>
        <w:t>the GT AI Security &amp; Agent Audit Checklist v2.0 (125 items, incl. the ISACA agent section and ISO/IEC 42001 checks) to identify control gaps that raise likelihood ratings;</w:t>
      </w:r>
    </w:p>
    <w:p>
      <w:pPr>
        <w:pStyle w:val="ListBullet"/>
        <w:spacing w:after="40"/>
      </w:pPr>
      <w:r>
        <w:t>review of incidents in comparable systems (AI Incident Database, OECD AIM) and vendor documentation (model cards, system cards);</w:t>
      </w:r>
    </w:p>
    <w:p>
      <w:pPr>
        <w:pStyle w:val="ListBullet"/>
        <w:spacing w:after="40"/>
      </w:pPr>
      <w:r>
        <w:t>a data-protection impact assessment where personal data is processed (Bahrain PDPL).</w:t>
      </w:r>
    </w:p>
    <w:p>
      <w:r>
        <w:rPr>
          <w:b w:val="0"/>
          <w:i w:val="0"/>
        </w:rPr>
        <w:t>Each identified risk is recorded as a scenario: cause -&gt; event -&gt; consequence (e.g., 'Indirect prompt injection in a retrieved document causes the assistant to disclose another customer's balance, resulting in a PDPL breach and customer harm').</w:t>
      </w:r>
    </w:p>
    <w:p>
      <w:pPr>
        <w:pStyle w:val="Heading2"/>
      </w:pPr>
      <w:r>
        <w:t>Stage 3 - Risk analysis</w:t>
      </w:r>
    </w:p>
    <w:p>
      <w:r>
        <w:rPr>
          <w:b w:val="0"/>
          <w:i w:val="0"/>
        </w:rPr>
        <w:t>Each risk is rated on inherent likelihood and inherent impact, assuming no controls (or only controls inherent to the design). The inherent score is Likelihood x Impact (1-25).</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737"/>
        <w:gridCol w:w="1531"/>
        <w:gridCol w:w="7370"/>
      </w:tblGrid>
      <w:tr>
        <w:trPr>
          <w:tblHeader w:val="true"/>
        </w:trPr>
        <w:tc>
          <w:tcPr>
            <w:tcW w:type="dxa" w:w="737"/>
            <w:shd w:val="clear" w:color="auto" w:fill="4F2D7F"/>
            <w:vAlign w:val="center"/>
          </w:tcPr>
          <w:p>
            <w:r/>
            <w:r>
              <w:rPr>
                <w:b/>
                <w:color w:val="FFFFFF"/>
                <w:sz w:val="17"/>
              </w:rPr>
              <w:t>Score</w:t>
            </w:r>
          </w:p>
        </w:tc>
        <w:tc>
          <w:tcPr>
            <w:tcW w:type="dxa" w:w="1531"/>
            <w:shd w:val="clear" w:color="auto" w:fill="4F2D7F"/>
            <w:vAlign w:val="center"/>
          </w:tcPr>
          <w:p>
            <w:r/>
            <w:r>
              <w:rPr>
                <w:b/>
                <w:color w:val="FFFFFF"/>
                <w:sz w:val="17"/>
              </w:rPr>
              <w:t>Likelihood</w:t>
            </w:r>
          </w:p>
        </w:tc>
        <w:tc>
          <w:tcPr>
            <w:tcW w:type="dxa" w:w="7370"/>
            <w:shd w:val="clear" w:color="auto" w:fill="4F2D7F"/>
            <w:vAlign w:val="center"/>
          </w:tcPr>
          <w:p>
            <w:r/>
            <w:r>
              <w:rPr>
                <w:b/>
                <w:color w:val="FFFFFF"/>
                <w:sz w:val="17"/>
              </w:rPr>
              <w:t>Definition</w:t>
            </w:r>
          </w:p>
        </w:tc>
      </w:tr>
      <w:tr>
        <w:tc>
          <w:tcPr>
            <w:tcW w:type="dxa" w:w="737"/>
          </w:tcPr>
          <w:p>
            <w:pPr>
              <w:spacing w:after="20"/>
            </w:pPr>
            <w:r/>
            <w:r>
              <w:rPr>
                <w:b/>
                <w:sz w:val="17"/>
              </w:rPr>
              <w:t>1</w:t>
            </w:r>
          </w:p>
        </w:tc>
        <w:tc>
          <w:tcPr>
            <w:tcW w:type="dxa" w:w="1531"/>
          </w:tcPr>
          <w:p>
            <w:pPr>
              <w:spacing w:after="20"/>
            </w:pPr>
            <w:r/>
            <w:r>
              <w:rPr>
                <w:sz w:val="17"/>
              </w:rPr>
              <w:t>Rare</w:t>
            </w:r>
          </w:p>
        </w:tc>
        <w:tc>
          <w:tcPr>
            <w:tcW w:type="dxa" w:w="7370"/>
          </w:tcPr>
          <w:p>
            <w:pPr>
              <w:spacing w:after="20"/>
            </w:pPr>
            <w:r/>
            <w:r>
              <w:rPr>
                <w:sz w:val="17"/>
              </w:rPr>
              <w:t>May occur only in exceptional circumstances; &lt; 5% chance within 12 months; no known occurrences in similar systems.</w:t>
            </w:r>
          </w:p>
        </w:tc>
      </w:tr>
      <w:tr>
        <w:tc>
          <w:tcPr>
            <w:tcW w:type="dxa" w:w="737"/>
            <w:shd w:val="clear" w:color="auto" w:fill="F7F4FB"/>
          </w:tcPr>
          <w:p>
            <w:pPr>
              <w:spacing w:after="20"/>
            </w:pPr>
            <w:r/>
            <w:r>
              <w:rPr>
                <w:b/>
                <w:sz w:val="17"/>
              </w:rPr>
              <w:t>2</w:t>
            </w:r>
          </w:p>
        </w:tc>
        <w:tc>
          <w:tcPr>
            <w:tcW w:type="dxa" w:w="1531"/>
            <w:shd w:val="clear" w:color="auto" w:fill="F7F4FB"/>
          </w:tcPr>
          <w:p>
            <w:pPr>
              <w:spacing w:after="20"/>
            </w:pPr>
            <w:r/>
            <w:r>
              <w:rPr>
                <w:sz w:val="17"/>
              </w:rPr>
              <w:t>Unlikely</w:t>
            </w:r>
          </w:p>
        </w:tc>
        <w:tc>
          <w:tcPr>
            <w:tcW w:type="dxa" w:w="7370"/>
            <w:shd w:val="clear" w:color="auto" w:fill="F7F4FB"/>
          </w:tcPr>
          <w:p>
            <w:pPr>
              <w:spacing w:after="20"/>
            </w:pPr>
            <w:r/>
            <w:r>
              <w:rPr>
                <w:sz w:val="17"/>
              </w:rPr>
              <w:t>Could occur but not expected; 5-20% within 12 months; isolated occurrences in industry.</w:t>
            </w:r>
          </w:p>
        </w:tc>
      </w:tr>
      <w:tr>
        <w:tc>
          <w:tcPr>
            <w:tcW w:type="dxa" w:w="737"/>
          </w:tcPr>
          <w:p>
            <w:pPr>
              <w:spacing w:after="20"/>
            </w:pPr>
            <w:r/>
            <w:r>
              <w:rPr>
                <w:b/>
                <w:sz w:val="17"/>
              </w:rPr>
              <w:t>3</w:t>
            </w:r>
          </w:p>
        </w:tc>
        <w:tc>
          <w:tcPr>
            <w:tcW w:type="dxa" w:w="1531"/>
          </w:tcPr>
          <w:p>
            <w:pPr>
              <w:spacing w:after="20"/>
            </w:pPr>
            <w:r/>
            <w:r>
              <w:rPr>
                <w:sz w:val="17"/>
              </w:rPr>
              <w:t>Possible</w:t>
            </w:r>
          </w:p>
        </w:tc>
        <w:tc>
          <w:tcPr>
            <w:tcW w:type="dxa" w:w="7370"/>
          </w:tcPr>
          <w:p>
            <w:pPr>
              <w:spacing w:after="20"/>
            </w:pPr>
            <w:r/>
            <w:r>
              <w:rPr>
                <w:sz w:val="17"/>
              </w:rPr>
              <w:t>Might occur; 20-50% within 12 months; has occurred in comparable organisations.</w:t>
            </w:r>
          </w:p>
        </w:tc>
      </w:tr>
      <w:tr>
        <w:tc>
          <w:tcPr>
            <w:tcW w:type="dxa" w:w="737"/>
            <w:shd w:val="clear" w:color="auto" w:fill="F7F4FB"/>
          </w:tcPr>
          <w:p>
            <w:pPr>
              <w:spacing w:after="20"/>
            </w:pPr>
            <w:r/>
            <w:r>
              <w:rPr>
                <w:b/>
                <w:sz w:val="17"/>
              </w:rPr>
              <w:t>4</w:t>
            </w:r>
          </w:p>
        </w:tc>
        <w:tc>
          <w:tcPr>
            <w:tcW w:type="dxa" w:w="1531"/>
            <w:shd w:val="clear" w:color="auto" w:fill="F7F4FB"/>
          </w:tcPr>
          <w:p>
            <w:pPr>
              <w:spacing w:after="20"/>
            </w:pPr>
            <w:r/>
            <w:r>
              <w:rPr>
                <w:sz w:val="17"/>
              </w:rPr>
              <w:t>Likely</w:t>
            </w:r>
          </w:p>
        </w:tc>
        <w:tc>
          <w:tcPr>
            <w:tcW w:type="dxa" w:w="7370"/>
            <w:shd w:val="clear" w:color="auto" w:fill="F7F4FB"/>
          </w:tcPr>
          <w:p>
            <w:pPr>
              <w:spacing w:after="20"/>
            </w:pPr>
            <w:r/>
            <w:r>
              <w:rPr>
                <w:sz w:val="17"/>
              </w:rPr>
              <w:t>Will probably occur; 50-80% within 12 months; has occurred previously in the organisation.</w:t>
            </w:r>
          </w:p>
        </w:tc>
      </w:tr>
      <w:tr>
        <w:tc>
          <w:tcPr>
            <w:tcW w:type="dxa" w:w="737"/>
          </w:tcPr>
          <w:p>
            <w:pPr>
              <w:spacing w:after="20"/>
            </w:pPr>
            <w:r/>
            <w:r>
              <w:rPr>
                <w:b/>
                <w:sz w:val="17"/>
              </w:rPr>
              <w:t>5</w:t>
            </w:r>
          </w:p>
        </w:tc>
        <w:tc>
          <w:tcPr>
            <w:tcW w:type="dxa" w:w="1531"/>
          </w:tcPr>
          <w:p>
            <w:pPr>
              <w:spacing w:after="20"/>
            </w:pPr>
            <w:r/>
            <w:r>
              <w:rPr>
                <w:sz w:val="17"/>
              </w:rPr>
              <w:t>Almost certain</w:t>
            </w:r>
          </w:p>
        </w:tc>
        <w:tc>
          <w:tcPr>
            <w:tcW w:type="dxa" w:w="7370"/>
          </w:tcPr>
          <w:p>
            <w:pPr>
              <w:spacing w:after="20"/>
            </w:pPr>
            <w:r/>
            <w:r>
              <w:rPr>
                <w:sz w:val="17"/>
              </w:rPr>
              <w:t>Expected to occur; &gt; 80% within 12 months or recurring.</w:t>
            </w:r>
          </w:p>
        </w:tc>
      </w:tr>
    </w:tbl>
    <w:p>
      <w:pPr>
        <w:spacing w:after="40"/>
      </w:pPr>
    </w:p>
    <w:p>
      <w:r>
        <w:rPr>
          <w:b w:val="0"/>
          <w:i w:val="0"/>
          <w:sz w:val="19"/>
        </w:rPr>
        <w:t>Impact is rated on the highest applicable of six dimensions. Financial thresholds are indicative for a mid-sized Bahraini organisation and must be calibrated to the client's enterprise risk scales.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191"/>
        <w:gridCol w:w="1531"/>
        <w:gridCol w:w="1247"/>
        <w:gridCol w:w="1417"/>
        <w:gridCol w:w="1361"/>
        <w:gridCol w:w="1474"/>
        <w:gridCol w:w="1417"/>
      </w:tblGrid>
      <w:tr>
        <w:trPr>
          <w:tblHeader w:val="true"/>
        </w:trPr>
        <w:tc>
          <w:tcPr>
            <w:tcW w:type="dxa" w:w="1191"/>
            <w:shd w:val="clear" w:color="auto" w:fill="4F2D7F"/>
            <w:vAlign w:val="center"/>
          </w:tcPr>
          <w:p>
            <w:r/>
            <w:r>
              <w:rPr>
                <w:b/>
                <w:color w:val="FFFFFF"/>
                <w:sz w:val="14"/>
              </w:rPr>
              <w:t>Score</w:t>
            </w:r>
          </w:p>
        </w:tc>
        <w:tc>
          <w:tcPr>
            <w:tcW w:type="dxa" w:w="1531"/>
            <w:shd w:val="clear" w:color="auto" w:fill="4F2D7F"/>
            <w:vAlign w:val="center"/>
          </w:tcPr>
          <w:p>
            <w:r/>
            <w:r>
              <w:rPr>
                <w:b/>
                <w:color w:val="FFFFFF"/>
                <w:sz w:val="14"/>
              </w:rPr>
              <w:t>Individuals &amp; rights</w:t>
            </w:r>
          </w:p>
        </w:tc>
        <w:tc>
          <w:tcPr>
            <w:tcW w:type="dxa" w:w="1247"/>
            <w:shd w:val="clear" w:color="auto" w:fill="4F2D7F"/>
            <w:vAlign w:val="center"/>
          </w:tcPr>
          <w:p>
            <w:r/>
            <w:r>
              <w:rPr>
                <w:b/>
                <w:color w:val="FFFFFF"/>
                <w:sz w:val="14"/>
              </w:rPr>
              <w:t>Financial</w:t>
            </w:r>
          </w:p>
        </w:tc>
        <w:tc>
          <w:tcPr>
            <w:tcW w:type="dxa" w:w="1417"/>
            <w:shd w:val="clear" w:color="auto" w:fill="4F2D7F"/>
            <w:vAlign w:val="center"/>
          </w:tcPr>
          <w:p>
            <w:r/>
            <w:r>
              <w:rPr>
                <w:b/>
                <w:color w:val="FFFFFF"/>
                <w:sz w:val="14"/>
              </w:rPr>
              <w:t>Regulatory &amp; legal</w:t>
            </w:r>
          </w:p>
        </w:tc>
        <w:tc>
          <w:tcPr>
            <w:tcW w:type="dxa" w:w="1361"/>
            <w:shd w:val="clear" w:color="auto" w:fill="4F2D7F"/>
            <w:vAlign w:val="center"/>
          </w:tcPr>
          <w:p>
            <w:r/>
            <w:r>
              <w:rPr>
                <w:b/>
                <w:color w:val="FFFFFF"/>
                <w:sz w:val="14"/>
              </w:rPr>
              <w:t>Operational</w:t>
            </w:r>
          </w:p>
        </w:tc>
        <w:tc>
          <w:tcPr>
            <w:tcW w:type="dxa" w:w="1474"/>
            <w:shd w:val="clear" w:color="auto" w:fill="4F2D7F"/>
            <w:vAlign w:val="center"/>
          </w:tcPr>
          <w:p>
            <w:r/>
            <w:r>
              <w:rPr>
                <w:b/>
                <w:color w:val="FFFFFF"/>
                <w:sz w:val="14"/>
              </w:rPr>
              <w:t>Reputational &amp; client trust</w:t>
            </w:r>
          </w:p>
        </w:tc>
        <w:tc>
          <w:tcPr>
            <w:tcW w:type="dxa" w:w="1417"/>
            <w:shd w:val="clear" w:color="auto" w:fill="4F2D7F"/>
            <w:vAlign w:val="center"/>
          </w:tcPr>
          <w:p>
            <w:r/>
            <w:r>
              <w:rPr>
                <w:b/>
                <w:color w:val="FFFFFF"/>
                <w:sz w:val="14"/>
              </w:rPr>
              <w:t>Safety, societal &amp; environmental</w:t>
            </w:r>
          </w:p>
        </w:tc>
      </w:tr>
      <w:tr>
        <w:tc>
          <w:tcPr>
            <w:tcW w:type="dxa" w:w="1191"/>
          </w:tcPr>
          <w:p>
            <w:pPr>
              <w:spacing w:after="20"/>
            </w:pPr>
            <w:r/>
            <w:r>
              <w:rPr>
                <w:b/>
                <w:sz w:val="14"/>
              </w:rPr>
              <w:t>1 Insignificant</w:t>
            </w:r>
          </w:p>
        </w:tc>
        <w:tc>
          <w:tcPr>
            <w:tcW w:type="dxa" w:w="1531"/>
          </w:tcPr>
          <w:p>
            <w:pPr>
              <w:spacing w:after="20"/>
            </w:pPr>
            <w:r/>
            <w:r>
              <w:rPr>
                <w:sz w:val="14"/>
              </w:rPr>
              <w:t>No discernible effect on individuals</w:t>
            </w:r>
          </w:p>
        </w:tc>
        <w:tc>
          <w:tcPr>
            <w:tcW w:type="dxa" w:w="1247"/>
          </w:tcPr>
          <w:p>
            <w:pPr>
              <w:spacing w:after="20"/>
            </w:pPr>
            <w:r/>
            <w:r>
              <w:rPr>
                <w:sz w:val="14"/>
              </w:rPr>
              <w:t>&lt; BHD 5,000</w:t>
            </w:r>
          </w:p>
        </w:tc>
        <w:tc>
          <w:tcPr>
            <w:tcW w:type="dxa" w:w="1417"/>
          </w:tcPr>
          <w:p>
            <w:pPr>
              <w:spacing w:after="20"/>
            </w:pPr>
            <w:r/>
            <w:r>
              <w:rPr>
                <w:sz w:val="14"/>
              </w:rPr>
              <w:t>No breach; no regulatory interest</w:t>
            </w:r>
          </w:p>
        </w:tc>
        <w:tc>
          <w:tcPr>
            <w:tcW w:type="dxa" w:w="1361"/>
          </w:tcPr>
          <w:p>
            <w:pPr>
              <w:spacing w:after="20"/>
            </w:pPr>
            <w:r/>
            <w:r>
              <w:rPr>
                <w:sz w:val="14"/>
              </w:rPr>
              <w:t>Negligible disruption (&lt; 1 hour)</w:t>
            </w:r>
          </w:p>
        </w:tc>
        <w:tc>
          <w:tcPr>
            <w:tcW w:type="dxa" w:w="1474"/>
          </w:tcPr>
          <w:p>
            <w:pPr>
              <w:spacing w:after="20"/>
            </w:pPr>
            <w:r/>
            <w:r>
              <w:rPr>
                <w:sz w:val="14"/>
              </w:rPr>
              <w:t>No external awareness</w:t>
            </w:r>
          </w:p>
        </w:tc>
        <w:tc>
          <w:tcPr>
            <w:tcW w:type="dxa" w:w="1417"/>
          </w:tcPr>
          <w:p>
            <w:pPr>
              <w:spacing w:after="20"/>
            </w:pPr>
            <w:r/>
            <w:r>
              <w:rPr>
                <w:sz w:val="14"/>
              </w:rPr>
              <w:t>No harm</w:t>
            </w:r>
          </w:p>
        </w:tc>
      </w:tr>
      <w:tr>
        <w:tc>
          <w:tcPr>
            <w:tcW w:type="dxa" w:w="1191"/>
            <w:shd w:val="clear" w:color="auto" w:fill="F7F4FB"/>
          </w:tcPr>
          <w:p>
            <w:pPr>
              <w:spacing w:after="20"/>
            </w:pPr>
            <w:r/>
            <w:r>
              <w:rPr>
                <w:b/>
                <w:sz w:val="14"/>
              </w:rPr>
              <w:t>2 Minor</w:t>
            </w:r>
          </w:p>
        </w:tc>
        <w:tc>
          <w:tcPr>
            <w:tcW w:type="dxa" w:w="1531"/>
            <w:shd w:val="clear" w:color="auto" w:fill="F7F4FB"/>
          </w:tcPr>
          <w:p>
            <w:pPr>
              <w:spacing w:after="20"/>
            </w:pPr>
            <w:r/>
            <w:r>
              <w:rPr>
                <w:sz w:val="14"/>
              </w:rPr>
              <w:t>Minor inconvenience to a few individuals, easily remedied</w:t>
            </w:r>
          </w:p>
        </w:tc>
        <w:tc>
          <w:tcPr>
            <w:tcW w:type="dxa" w:w="1247"/>
            <w:shd w:val="clear" w:color="auto" w:fill="F7F4FB"/>
          </w:tcPr>
          <w:p>
            <w:pPr>
              <w:spacing w:after="20"/>
            </w:pPr>
            <w:r/>
            <w:r>
              <w:rPr>
                <w:sz w:val="14"/>
              </w:rPr>
              <w:t>BHD 5,000 - 50,000</w:t>
            </w:r>
          </w:p>
        </w:tc>
        <w:tc>
          <w:tcPr>
            <w:tcW w:type="dxa" w:w="1417"/>
            <w:shd w:val="clear" w:color="auto" w:fill="F7F4FB"/>
          </w:tcPr>
          <w:p>
            <w:pPr>
              <w:spacing w:after="20"/>
            </w:pPr>
            <w:r/>
            <w:r>
              <w:rPr>
                <w:sz w:val="14"/>
              </w:rPr>
              <w:t>Minor breach; self-reported; no sanction</w:t>
            </w:r>
          </w:p>
        </w:tc>
        <w:tc>
          <w:tcPr>
            <w:tcW w:type="dxa" w:w="1361"/>
            <w:shd w:val="clear" w:color="auto" w:fill="F7F4FB"/>
          </w:tcPr>
          <w:p>
            <w:pPr>
              <w:spacing w:after="20"/>
            </w:pPr>
            <w:r/>
            <w:r>
              <w:rPr>
                <w:sz w:val="14"/>
              </w:rPr>
              <w:t>Minor disruption (&lt; 1 day); workaround available</w:t>
            </w:r>
          </w:p>
        </w:tc>
        <w:tc>
          <w:tcPr>
            <w:tcW w:type="dxa" w:w="1474"/>
            <w:shd w:val="clear" w:color="auto" w:fill="F7F4FB"/>
          </w:tcPr>
          <w:p>
            <w:pPr>
              <w:spacing w:after="20"/>
            </w:pPr>
            <w:r/>
            <w:r>
              <w:rPr>
                <w:sz w:val="14"/>
              </w:rPr>
              <w:t>Limited local / client awareness</w:t>
            </w:r>
          </w:p>
        </w:tc>
        <w:tc>
          <w:tcPr>
            <w:tcW w:type="dxa" w:w="1417"/>
            <w:shd w:val="clear" w:color="auto" w:fill="F7F4FB"/>
          </w:tcPr>
          <w:p>
            <w:pPr>
              <w:spacing w:after="20"/>
            </w:pPr>
            <w:r/>
            <w:r>
              <w:rPr>
                <w:sz w:val="14"/>
              </w:rPr>
              <w:t>Minor, temporary, contained harm</w:t>
            </w:r>
          </w:p>
        </w:tc>
      </w:tr>
      <w:tr>
        <w:tc>
          <w:tcPr>
            <w:tcW w:type="dxa" w:w="1191"/>
          </w:tcPr>
          <w:p>
            <w:pPr>
              <w:spacing w:after="20"/>
            </w:pPr>
            <w:r/>
            <w:r>
              <w:rPr>
                <w:b/>
                <w:sz w:val="14"/>
              </w:rPr>
              <w:t>3 Moderate</w:t>
            </w:r>
          </w:p>
        </w:tc>
        <w:tc>
          <w:tcPr>
            <w:tcW w:type="dxa" w:w="1531"/>
          </w:tcPr>
          <w:p>
            <w:pPr>
              <w:spacing w:after="20"/>
            </w:pPr>
            <w:r/>
            <w:r>
              <w:rPr>
                <w:sz w:val="14"/>
              </w:rPr>
              <w:t>Adverse effect on a group; rights affected but remediable</w:t>
            </w:r>
          </w:p>
        </w:tc>
        <w:tc>
          <w:tcPr>
            <w:tcW w:type="dxa" w:w="1247"/>
          </w:tcPr>
          <w:p>
            <w:pPr>
              <w:spacing w:after="20"/>
            </w:pPr>
            <w:r/>
            <w:r>
              <w:rPr>
                <w:sz w:val="14"/>
              </w:rPr>
              <w:t>BHD 50,000 - 250,000</w:t>
            </w:r>
          </w:p>
        </w:tc>
        <w:tc>
          <w:tcPr>
            <w:tcW w:type="dxa" w:w="1417"/>
          </w:tcPr>
          <w:p>
            <w:pPr>
              <w:spacing w:after="20"/>
            </w:pPr>
            <w:r/>
            <w:r>
              <w:rPr>
                <w:sz w:val="14"/>
              </w:rPr>
              <w:t>Breach resulting in regulatory enquiry or warning</w:t>
            </w:r>
          </w:p>
        </w:tc>
        <w:tc>
          <w:tcPr>
            <w:tcW w:type="dxa" w:w="1361"/>
          </w:tcPr>
          <w:p>
            <w:pPr>
              <w:spacing w:after="20"/>
            </w:pPr>
            <w:r/>
            <w:r>
              <w:rPr>
                <w:sz w:val="14"/>
              </w:rPr>
              <w:t>Disruption of key process (1-3 days)</w:t>
            </w:r>
          </w:p>
        </w:tc>
        <w:tc>
          <w:tcPr>
            <w:tcW w:type="dxa" w:w="1474"/>
          </w:tcPr>
          <w:p>
            <w:pPr>
              <w:spacing w:after="20"/>
            </w:pPr>
            <w:r/>
            <w:r>
              <w:rPr>
                <w:sz w:val="14"/>
              </w:rPr>
              <w:t>Negative media / client complaints; short-term</w:t>
            </w:r>
          </w:p>
        </w:tc>
        <w:tc>
          <w:tcPr>
            <w:tcW w:type="dxa" w:w="1417"/>
          </w:tcPr>
          <w:p>
            <w:pPr>
              <w:spacing w:after="20"/>
            </w:pPr>
            <w:r/>
            <w:r>
              <w:rPr>
                <w:sz w:val="14"/>
              </w:rPr>
              <w:t>Moderate harm; limited environmental impact</w:t>
            </w:r>
          </w:p>
        </w:tc>
      </w:tr>
      <w:tr>
        <w:tc>
          <w:tcPr>
            <w:tcW w:type="dxa" w:w="1191"/>
            <w:shd w:val="clear" w:color="auto" w:fill="F7F4FB"/>
          </w:tcPr>
          <w:p>
            <w:pPr>
              <w:spacing w:after="20"/>
            </w:pPr>
            <w:r/>
            <w:r>
              <w:rPr>
                <w:b/>
                <w:sz w:val="14"/>
              </w:rPr>
              <w:t>4 Major</w:t>
            </w:r>
          </w:p>
        </w:tc>
        <w:tc>
          <w:tcPr>
            <w:tcW w:type="dxa" w:w="1531"/>
            <w:shd w:val="clear" w:color="auto" w:fill="F7F4FB"/>
          </w:tcPr>
          <w:p>
            <w:pPr>
              <w:spacing w:after="20"/>
            </w:pPr>
            <w:r/>
            <w:r>
              <w:rPr>
                <w:sz w:val="14"/>
              </w:rPr>
              <w:t>Significant harm or discrimination affecting many individuals</w:t>
            </w:r>
          </w:p>
        </w:tc>
        <w:tc>
          <w:tcPr>
            <w:tcW w:type="dxa" w:w="1247"/>
            <w:shd w:val="clear" w:color="auto" w:fill="F7F4FB"/>
          </w:tcPr>
          <w:p>
            <w:pPr>
              <w:spacing w:after="20"/>
            </w:pPr>
            <w:r/>
            <w:r>
              <w:rPr>
                <w:sz w:val="14"/>
              </w:rPr>
              <w:t>BHD 250,000 - 1,000,000</w:t>
            </w:r>
          </w:p>
        </w:tc>
        <w:tc>
          <w:tcPr>
            <w:tcW w:type="dxa" w:w="1417"/>
            <w:shd w:val="clear" w:color="auto" w:fill="F7F4FB"/>
          </w:tcPr>
          <w:p>
            <w:pPr>
              <w:spacing w:after="20"/>
            </w:pPr>
            <w:r/>
            <w:r>
              <w:rPr>
                <w:sz w:val="14"/>
              </w:rPr>
              <w:t>Regulatory sanction, fine or enforcement action</w:t>
            </w:r>
          </w:p>
        </w:tc>
        <w:tc>
          <w:tcPr>
            <w:tcW w:type="dxa" w:w="1361"/>
            <w:shd w:val="clear" w:color="auto" w:fill="F7F4FB"/>
          </w:tcPr>
          <w:p>
            <w:pPr>
              <w:spacing w:after="20"/>
            </w:pPr>
            <w:r/>
            <w:r>
              <w:rPr>
                <w:sz w:val="14"/>
              </w:rPr>
              <w:t>Critical service outage (&gt; 3 days)</w:t>
            </w:r>
          </w:p>
        </w:tc>
        <w:tc>
          <w:tcPr>
            <w:tcW w:type="dxa" w:w="1474"/>
            <w:shd w:val="clear" w:color="auto" w:fill="F7F4FB"/>
          </w:tcPr>
          <w:p>
            <w:pPr>
              <w:spacing w:after="20"/>
            </w:pPr>
            <w:r/>
            <w:r>
              <w:rPr>
                <w:sz w:val="14"/>
              </w:rPr>
              <w:t>Sustained national media coverage; loss of key clients</w:t>
            </w:r>
          </w:p>
        </w:tc>
        <w:tc>
          <w:tcPr>
            <w:tcW w:type="dxa" w:w="1417"/>
            <w:shd w:val="clear" w:color="auto" w:fill="F7F4FB"/>
          </w:tcPr>
          <w:p>
            <w:pPr>
              <w:spacing w:after="20"/>
            </w:pPr>
            <w:r/>
            <w:r>
              <w:rPr>
                <w:sz w:val="14"/>
              </w:rPr>
              <w:t>Serious injury / significant societal harm</w:t>
            </w:r>
          </w:p>
        </w:tc>
      </w:tr>
      <w:tr>
        <w:tc>
          <w:tcPr>
            <w:tcW w:type="dxa" w:w="1191"/>
          </w:tcPr>
          <w:p>
            <w:pPr>
              <w:spacing w:after="20"/>
            </w:pPr>
            <w:r/>
            <w:r>
              <w:rPr>
                <w:b/>
                <w:sz w:val="14"/>
              </w:rPr>
              <w:t>5 Severe</w:t>
            </w:r>
          </w:p>
        </w:tc>
        <w:tc>
          <w:tcPr>
            <w:tcW w:type="dxa" w:w="1531"/>
          </w:tcPr>
          <w:p>
            <w:pPr>
              <w:spacing w:after="20"/>
            </w:pPr>
            <w:r/>
            <w:r>
              <w:rPr>
                <w:sz w:val="14"/>
              </w:rPr>
              <w:t>Irreversible harm to individuals' rights, safety or livelihood at scale</w:t>
            </w:r>
          </w:p>
        </w:tc>
        <w:tc>
          <w:tcPr>
            <w:tcW w:type="dxa" w:w="1247"/>
          </w:tcPr>
          <w:p>
            <w:pPr>
              <w:spacing w:after="20"/>
            </w:pPr>
            <w:r/>
            <w:r>
              <w:rPr>
                <w:sz w:val="14"/>
              </w:rPr>
              <w:t>&gt; BHD 1,000,000</w:t>
            </w:r>
          </w:p>
        </w:tc>
        <w:tc>
          <w:tcPr>
            <w:tcW w:type="dxa" w:w="1417"/>
          </w:tcPr>
          <w:p>
            <w:pPr>
              <w:spacing w:after="20"/>
            </w:pPr>
            <w:r/>
            <w:r>
              <w:rPr>
                <w:sz w:val="14"/>
              </w:rPr>
              <w:t>Licence suspension / criminal liability / prohibited practice</w:t>
            </w:r>
          </w:p>
        </w:tc>
        <w:tc>
          <w:tcPr>
            <w:tcW w:type="dxa" w:w="1361"/>
          </w:tcPr>
          <w:p>
            <w:pPr>
              <w:spacing w:after="20"/>
            </w:pPr>
            <w:r/>
            <w:r>
              <w:rPr>
                <w:sz w:val="14"/>
              </w:rPr>
              <w:t>Prolonged failure of critical operations</w:t>
            </w:r>
          </w:p>
        </w:tc>
        <w:tc>
          <w:tcPr>
            <w:tcW w:type="dxa" w:w="1474"/>
          </w:tcPr>
          <w:p>
            <w:pPr>
              <w:spacing w:after="20"/>
            </w:pPr>
            <w:r/>
            <w:r>
              <w:rPr>
                <w:sz w:val="14"/>
              </w:rPr>
              <w:t>Long-term, international reputational damage</w:t>
            </w:r>
          </w:p>
        </w:tc>
        <w:tc>
          <w:tcPr>
            <w:tcW w:type="dxa" w:w="1417"/>
          </w:tcPr>
          <w:p>
            <w:pPr>
              <w:spacing w:after="20"/>
            </w:pPr>
            <w:r/>
            <w:r>
              <w:rPr>
                <w:sz w:val="14"/>
              </w:rPr>
              <w:t>Loss of life / widespread irreversible harm</w:t>
            </w:r>
          </w:p>
        </w:tc>
      </w:tr>
    </w:tbl>
    <w:p>
      <w:pPr>
        <w:spacing w:after="40"/>
      </w:pPr>
    </w:p>
    <w:p>
      <w:pPr>
        <w:jc w:val="center"/>
      </w:pPr>
      <w:r>
        <w:drawing>
          <wp:inline xmlns:a="http://schemas.openxmlformats.org/drawingml/2006/main" xmlns:pic="http://schemas.openxmlformats.org/drawingml/2006/picture">
            <wp:extent cx="3780000" cy="3069818"/>
            <wp:docPr id="3" name="Picture 3"/>
            <wp:cNvGraphicFramePr>
              <a:graphicFrameLocks noChangeAspect="1"/>
            </wp:cNvGraphicFramePr>
            <a:graphic>
              <a:graphicData uri="http://schemas.openxmlformats.org/drawingml/2006/picture">
                <pic:pic>
                  <pic:nvPicPr>
                    <pic:cNvPr id="0" name="heatmap.png"/>
                    <pic:cNvPicPr/>
                  </pic:nvPicPr>
                  <pic:blipFill>
                    <a:blip r:embed="rId11"/>
                    <a:stretch>
                      <a:fillRect/>
                    </a:stretch>
                  </pic:blipFill>
                  <pic:spPr>
                    <a:xfrm>
                      <a:off x="0" y="0"/>
                      <a:ext cx="3780000" cy="3069818"/>
                    </a:xfrm>
                    <a:prstGeom prst="rect"/>
                  </pic:spPr>
                </pic:pic>
              </a:graphicData>
            </a:graphic>
          </wp:inline>
        </w:drawing>
      </w:r>
    </w:p>
    <w:p>
      <w:pPr>
        <w:pStyle w:val="Heading2"/>
      </w:pPr>
      <w:r>
        <w:t>Stage 4 - Risk evaluation</w:t>
      </w:r>
    </w:p>
    <w:p>
      <w:r>
        <w:rPr>
          <w:b w:val="0"/>
          <w:i w:val="0"/>
        </w:rPr>
        <w:t>Existing controls are identified (using RCM v2.1 control IDs) and their effectiveness rated. The residual score is the inherent score multiplied by the control-effectiveness factor. Residual risk is then compared with the organisation's AI risk appetite (RCM RM-6).</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984"/>
        <w:gridCol w:w="850"/>
        <w:gridCol w:w="6803"/>
      </w:tblGrid>
      <w:tr>
        <w:trPr>
          <w:tblHeader w:val="true"/>
        </w:trPr>
        <w:tc>
          <w:tcPr>
            <w:tcW w:type="dxa" w:w="1984"/>
            <w:shd w:val="clear" w:color="auto" w:fill="4F2D7F"/>
            <w:vAlign w:val="center"/>
          </w:tcPr>
          <w:p>
            <w:r/>
            <w:r>
              <w:rPr>
                <w:b/>
                <w:color w:val="FFFFFF"/>
                <w:sz w:val="17"/>
              </w:rPr>
              <w:t>Control effectiveness</w:t>
            </w:r>
          </w:p>
        </w:tc>
        <w:tc>
          <w:tcPr>
            <w:tcW w:type="dxa" w:w="850"/>
            <w:shd w:val="clear" w:color="auto" w:fill="4F2D7F"/>
            <w:vAlign w:val="center"/>
          </w:tcPr>
          <w:p>
            <w:r/>
            <w:r>
              <w:rPr>
                <w:b/>
                <w:color w:val="FFFFFF"/>
                <w:sz w:val="17"/>
              </w:rPr>
              <w:t>Factor</w:t>
            </w:r>
          </w:p>
        </w:tc>
        <w:tc>
          <w:tcPr>
            <w:tcW w:type="dxa" w:w="6803"/>
            <w:shd w:val="clear" w:color="auto" w:fill="4F2D7F"/>
            <w:vAlign w:val="center"/>
          </w:tcPr>
          <w:p>
            <w:r/>
            <w:r>
              <w:rPr>
                <w:b/>
                <w:color w:val="FFFFFF"/>
                <w:sz w:val="17"/>
              </w:rPr>
              <w:t>Definition</w:t>
            </w:r>
          </w:p>
        </w:tc>
      </w:tr>
      <w:tr>
        <w:tc>
          <w:tcPr>
            <w:tcW w:type="dxa" w:w="1984"/>
          </w:tcPr>
          <w:p>
            <w:pPr>
              <w:spacing w:after="20"/>
            </w:pPr>
            <w:r/>
            <w:r>
              <w:rPr>
                <w:b/>
                <w:sz w:val="17"/>
              </w:rPr>
              <w:t>Strong</w:t>
            </w:r>
          </w:p>
        </w:tc>
        <w:tc>
          <w:tcPr>
            <w:tcW w:type="dxa" w:w="850"/>
          </w:tcPr>
          <w:p>
            <w:pPr>
              <w:spacing w:after="20"/>
            </w:pPr>
            <w:r/>
            <w:r>
              <w:rPr>
                <w:sz w:val="17"/>
              </w:rPr>
              <w:t>0.4</w:t>
            </w:r>
          </w:p>
        </w:tc>
        <w:tc>
          <w:tcPr>
            <w:tcW w:type="dxa" w:w="6803"/>
          </w:tcPr>
          <w:p>
            <w:pPr>
              <w:spacing w:after="20"/>
            </w:pPr>
            <w:r/>
            <w:r>
              <w:rPr>
                <w:sz w:val="17"/>
              </w:rPr>
              <w:t>Controls designed and operating effectively; tested with no material exceptions; automated where appropriate.</w:t>
            </w:r>
          </w:p>
        </w:tc>
      </w:tr>
      <w:tr>
        <w:tc>
          <w:tcPr>
            <w:tcW w:type="dxa" w:w="1984"/>
            <w:shd w:val="clear" w:color="auto" w:fill="F7F4FB"/>
          </w:tcPr>
          <w:p>
            <w:pPr>
              <w:spacing w:after="20"/>
            </w:pPr>
            <w:r/>
            <w:r>
              <w:rPr>
                <w:b/>
                <w:sz w:val="17"/>
              </w:rPr>
              <w:t>Satisfactory</w:t>
            </w:r>
          </w:p>
        </w:tc>
        <w:tc>
          <w:tcPr>
            <w:tcW w:type="dxa" w:w="850"/>
            <w:shd w:val="clear" w:color="auto" w:fill="F7F4FB"/>
          </w:tcPr>
          <w:p>
            <w:pPr>
              <w:spacing w:after="20"/>
            </w:pPr>
            <w:r/>
            <w:r>
              <w:rPr>
                <w:sz w:val="17"/>
              </w:rPr>
              <w:t>0.6</w:t>
            </w:r>
          </w:p>
        </w:tc>
        <w:tc>
          <w:tcPr>
            <w:tcW w:type="dxa" w:w="6803"/>
            <w:shd w:val="clear" w:color="auto" w:fill="F7F4FB"/>
          </w:tcPr>
          <w:p>
            <w:pPr>
              <w:spacing w:after="20"/>
            </w:pPr>
            <w:r/>
            <w:r>
              <w:rPr>
                <w:sz w:val="17"/>
              </w:rPr>
              <w:t>Controls largely designed and operating; minor exceptions; improvement opportunities identified.</w:t>
            </w:r>
          </w:p>
        </w:tc>
      </w:tr>
      <w:tr>
        <w:tc>
          <w:tcPr>
            <w:tcW w:type="dxa" w:w="1984"/>
          </w:tcPr>
          <w:p>
            <w:pPr>
              <w:spacing w:after="20"/>
            </w:pPr>
            <w:r/>
            <w:r>
              <w:rPr>
                <w:b/>
                <w:sz w:val="17"/>
              </w:rPr>
              <w:t>Needs improvement</w:t>
            </w:r>
          </w:p>
        </w:tc>
        <w:tc>
          <w:tcPr>
            <w:tcW w:type="dxa" w:w="850"/>
          </w:tcPr>
          <w:p>
            <w:pPr>
              <w:spacing w:after="20"/>
            </w:pPr>
            <w:r/>
            <w:r>
              <w:rPr>
                <w:sz w:val="17"/>
              </w:rPr>
              <w:t>0.8</w:t>
            </w:r>
          </w:p>
        </w:tc>
        <w:tc>
          <w:tcPr>
            <w:tcW w:type="dxa" w:w="6803"/>
          </w:tcPr>
          <w:p>
            <w:pPr>
              <w:spacing w:after="20"/>
            </w:pPr>
            <w:r/>
            <w:r>
              <w:rPr>
                <w:sz w:val="17"/>
              </w:rPr>
              <w:t>Controls partly designed or inconsistently operated; material exceptions; reliance limited.</w:t>
            </w:r>
          </w:p>
        </w:tc>
      </w:tr>
      <w:tr>
        <w:tc>
          <w:tcPr>
            <w:tcW w:type="dxa" w:w="1984"/>
            <w:shd w:val="clear" w:color="auto" w:fill="F7F4FB"/>
          </w:tcPr>
          <w:p>
            <w:pPr>
              <w:spacing w:after="20"/>
            </w:pPr>
            <w:r/>
            <w:r>
              <w:rPr>
                <w:b/>
                <w:sz w:val="17"/>
              </w:rPr>
              <w:t>Weak / None</w:t>
            </w:r>
          </w:p>
        </w:tc>
        <w:tc>
          <w:tcPr>
            <w:tcW w:type="dxa" w:w="850"/>
            <w:shd w:val="clear" w:color="auto" w:fill="F7F4FB"/>
          </w:tcPr>
          <w:p>
            <w:pPr>
              <w:spacing w:after="20"/>
            </w:pPr>
            <w:r/>
            <w:r>
              <w:rPr>
                <w:sz w:val="17"/>
              </w:rPr>
              <w:t>1.0</w:t>
            </w:r>
          </w:p>
        </w:tc>
        <w:tc>
          <w:tcPr>
            <w:tcW w:type="dxa" w:w="6803"/>
            <w:shd w:val="clear" w:color="auto" w:fill="F7F4FB"/>
          </w:tcPr>
          <w:p>
            <w:pPr>
              <w:spacing w:after="20"/>
            </w:pPr>
            <w:r/>
            <w:r>
              <w:rPr>
                <w:sz w:val="17"/>
              </w:rPr>
              <w:t>Controls absent, not designed to address the risk, or not operating.</w:t>
            </w:r>
          </w:p>
        </w:tc>
      </w:tr>
    </w:tbl>
    <w:p>
      <w:pPr>
        <w:spacing w:after="40"/>
      </w:pP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701"/>
        <w:gridCol w:w="1020"/>
        <w:gridCol w:w="6917"/>
      </w:tblGrid>
      <w:tr>
        <w:trPr>
          <w:tblHeader w:val="true"/>
        </w:trPr>
        <w:tc>
          <w:tcPr>
            <w:tcW w:type="dxa" w:w="1701"/>
            <w:shd w:val="clear" w:color="auto" w:fill="4F2D7F"/>
            <w:vAlign w:val="center"/>
          </w:tcPr>
          <w:p>
            <w:r/>
            <w:r>
              <w:rPr>
                <w:b/>
                <w:color w:val="FFFFFF"/>
                <w:sz w:val="17"/>
              </w:rPr>
              <w:t>Residual rating</w:t>
            </w:r>
          </w:p>
        </w:tc>
        <w:tc>
          <w:tcPr>
            <w:tcW w:type="dxa" w:w="1020"/>
            <w:shd w:val="clear" w:color="auto" w:fill="4F2D7F"/>
            <w:vAlign w:val="center"/>
          </w:tcPr>
          <w:p>
            <w:r/>
            <w:r>
              <w:rPr>
                <w:b/>
                <w:color w:val="FFFFFF"/>
                <w:sz w:val="17"/>
              </w:rPr>
              <w:t>Score</w:t>
            </w:r>
          </w:p>
        </w:tc>
        <w:tc>
          <w:tcPr>
            <w:tcW w:type="dxa" w:w="6917"/>
            <w:shd w:val="clear" w:color="auto" w:fill="4F2D7F"/>
            <w:vAlign w:val="center"/>
          </w:tcPr>
          <w:p>
            <w:r/>
            <w:r>
              <w:rPr>
                <w:b/>
                <w:color w:val="FFFFFF"/>
                <w:sz w:val="17"/>
              </w:rPr>
              <w:t>Required response</w:t>
            </w:r>
          </w:p>
        </w:tc>
      </w:tr>
      <w:tr>
        <w:tc>
          <w:tcPr>
            <w:tcW w:type="dxa" w:w="1701"/>
            <w:shd w:val="clear" w:color="auto" w:fill="C6E0B4"/>
          </w:tcPr>
          <w:p>
            <w:pPr>
              <w:spacing w:after="20"/>
            </w:pPr>
            <w:r/>
            <w:r>
              <w:rPr>
                <w:b/>
                <w:sz w:val="17"/>
              </w:rPr>
              <w:t>Low</w:t>
            </w:r>
          </w:p>
        </w:tc>
        <w:tc>
          <w:tcPr>
            <w:tcW w:type="dxa" w:w="1020"/>
          </w:tcPr>
          <w:p>
            <w:pPr>
              <w:spacing w:after="20"/>
            </w:pPr>
            <w:r/>
            <w:r>
              <w:rPr>
                <w:sz w:val="17"/>
              </w:rPr>
              <w:t>1-4</w:t>
            </w:r>
          </w:p>
        </w:tc>
        <w:tc>
          <w:tcPr>
            <w:tcW w:type="dxa" w:w="6917"/>
          </w:tcPr>
          <w:p>
            <w:pPr>
              <w:spacing w:after="20"/>
            </w:pPr>
            <w:r/>
            <w:r>
              <w:rPr>
                <w:sz w:val="17"/>
              </w:rPr>
              <w:t>Accept; monitor through normal governance.</w:t>
            </w:r>
          </w:p>
        </w:tc>
      </w:tr>
      <w:tr>
        <w:tc>
          <w:tcPr>
            <w:tcW w:type="dxa" w:w="1701"/>
            <w:shd w:val="clear" w:color="auto" w:fill="F7F4FB"/>
            <w:shd w:val="clear" w:color="auto" w:fill="FFE699"/>
          </w:tcPr>
          <w:p>
            <w:pPr>
              <w:spacing w:after="20"/>
            </w:pPr>
            <w:r/>
            <w:r>
              <w:rPr>
                <w:b/>
                <w:sz w:val="17"/>
              </w:rPr>
              <w:t>Medium</w:t>
            </w:r>
          </w:p>
        </w:tc>
        <w:tc>
          <w:tcPr>
            <w:tcW w:type="dxa" w:w="1020"/>
            <w:shd w:val="clear" w:color="auto" w:fill="F7F4FB"/>
          </w:tcPr>
          <w:p>
            <w:pPr>
              <w:spacing w:after="20"/>
            </w:pPr>
            <w:r/>
            <w:r>
              <w:rPr>
                <w:sz w:val="17"/>
              </w:rPr>
              <w:t>5-9</w:t>
            </w:r>
          </w:p>
        </w:tc>
        <w:tc>
          <w:tcPr>
            <w:tcW w:type="dxa" w:w="6917"/>
            <w:shd w:val="clear" w:color="auto" w:fill="F7F4FB"/>
          </w:tcPr>
          <w:p>
            <w:pPr>
              <w:spacing w:after="20"/>
            </w:pPr>
            <w:r/>
            <w:r>
              <w:rPr>
                <w:sz w:val="17"/>
              </w:rPr>
              <w:t>Treat within normal planning cycle; owner accountable; monitor KRIs.</w:t>
            </w:r>
          </w:p>
        </w:tc>
      </w:tr>
      <w:tr>
        <w:tc>
          <w:tcPr>
            <w:tcW w:type="dxa" w:w="1701"/>
            <w:shd w:val="clear" w:color="auto" w:fill="F4B183"/>
          </w:tcPr>
          <w:p>
            <w:pPr>
              <w:spacing w:after="20"/>
            </w:pPr>
            <w:r/>
            <w:r>
              <w:rPr>
                <w:b/>
                <w:sz w:val="17"/>
              </w:rPr>
              <w:t>High</w:t>
            </w:r>
          </w:p>
        </w:tc>
        <w:tc>
          <w:tcPr>
            <w:tcW w:type="dxa" w:w="1020"/>
          </w:tcPr>
          <w:p>
            <w:pPr>
              <w:spacing w:after="20"/>
            </w:pPr>
            <w:r/>
            <w:r>
              <w:rPr>
                <w:sz w:val="17"/>
              </w:rPr>
              <w:t>10-16</w:t>
            </w:r>
          </w:p>
        </w:tc>
        <w:tc>
          <w:tcPr>
            <w:tcW w:type="dxa" w:w="6917"/>
          </w:tcPr>
          <w:p>
            <w:pPr>
              <w:spacing w:after="20"/>
            </w:pPr>
            <w:r/>
            <w:r>
              <w:rPr>
                <w:sz w:val="17"/>
              </w:rPr>
              <w:t>Treatment plan within 90 days; AI Committee oversight; consider restricting use.</w:t>
            </w:r>
          </w:p>
        </w:tc>
      </w:tr>
      <w:tr>
        <w:tc>
          <w:tcPr>
            <w:tcW w:type="dxa" w:w="1701"/>
            <w:shd w:val="clear" w:color="auto" w:fill="F7F4FB"/>
            <w:shd w:val="clear" w:color="auto" w:fill="E06666"/>
          </w:tcPr>
          <w:p>
            <w:pPr>
              <w:spacing w:after="20"/>
            </w:pPr>
            <w:r/>
            <w:r>
              <w:rPr>
                <w:b/>
                <w:sz w:val="17"/>
              </w:rPr>
              <w:t>Critical</w:t>
            </w:r>
          </w:p>
        </w:tc>
        <w:tc>
          <w:tcPr>
            <w:tcW w:type="dxa" w:w="1020"/>
            <w:shd w:val="clear" w:color="auto" w:fill="F7F4FB"/>
          </w:tcPr>
          <w:p>
            <w:pPr>
              <w:spacing w:after="20"/>
            </w:pPr>
            <w:r/>
            <w:r>
              <w:rPr>
                <w:sz w:val="17"/>
              </w:rPr>
              <w:t>17-25</w:t>
            </w:r>
          </w:p>
        </w:tc>
        <w:tc>
          <w:tcPr>
            <w:tcW w:type="dxa" w:w="6917"/>
            <w:shd w:val="clear" w:color="auto" w:fill="F7F4FB"/>
          </w:tcPr>
          <w:p>
            <w:pPr>
              <w:spacing w:after="20"/>
            </w:pPr>
            <w:r/>
            <w:r>
              <w:rPr>
                <w:sz w:val="17"/>
              </w:rPr>
              <w:t>Outside appetite: immediate action; escalate to Executive / Board; suspend or do not deploy until reduced.</w:t>
            </w:r>
          </w:p>
        </w:tc>
      </w:tr>
    </w:tbl>
    <w:p>
      <w:pPr>
        <w:spacing w:after="40"/>
      </w:pPr>
    </w:p>
    <w:tbl>
      <w:tblPr>
        <w:tblW w:type="auto" w:w="0"/>
        <w:jc w:val="center"/>
        <w:tblLook w:firstColumn="1" w:firstRow="1" w:lastColumn="0" w:lastRow="0" w:noHBand="0" w:noVBand="1" w:val="04A0"/>
        <w:tblCellMar>
          <w:top w:w="120" w:type="dxa"/>
          <w:left w:w="90" w:type="dxa"/>
          <w:bottom w:w="120" w:type="dxa"/>
          <w:right w:w="90" w:type="dxa"/>
        </w:tblCellMar>
      </w:tblPr>
      <w:tblGrid>
        <w:gridCol w:w="9638"/>
      </w:tblGrid>
      <w:tr>
        <w:tc>
          <w:tcPr>
            <w:tcW w:type="dxa" w:w="9638"/>
            <w:shd w:val="clear" w:color="auto" w:fill="EDE7F6"/>
          </w:tcPr>
          <w:p>
            <w:r/>
            <w:r>
              <w:rPr>
                <w:b/>
                <w:color w:val="4F2D7F"/>
                <w:sz w:val="20"/>
              </w:rPr>
              <w:t>Default risk appetite</w:t>
            </w:r>
          </w:p>
          <w:p>
            <w:r>
              <w:rPr>
                <w:sz w:val="19"/>
              </w:rPr>
              <w:t>Unless the board has approved a different AI risk appetite: residual Low and Medium risks are within appetite; residual High risks require a time-bound treatment plan approved by the AI Committee; residual Critical risks are outside appetite - the system must not be deployed (or must be suspended) until the risk is reduced, unless formally accepted by the Executive Committee with board notification.</w:t>
            </w:r>
          </w:p>
        </w:tc>
      </w:tr>
    </w:tbl>
    <w:p>
      <w:pPr>
        <w:spacing w:after="40"/>
      </w:pPr>
    </w:p>
    <w:p>
      <w:pPr>
        <w:pStyle w:val="Heading2"/>
      </w:pPr>
      <w:r>
        <w:t>Stage 5 - Risk treatment</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361"/>
        <w:gridCol w:w="3061"/>
        <w:gridCol w:w="5216"/>
      </w:tblGrid>
      <w:tr>
        <w:trPr>
          <w:tblHeader w:val="true"/>
        </w:trPr>
        <w:tc>
          <w:tcPr>
            <w:tcW w:type="dxa" w:w="1361"/>
            <w:shd w:val="clear" w:color="auto" w:fill="4F2D7F"/>
            <w:vAlign w:val="center"/>
          </w:tcPr>
          <w:p>
            <w:r/>
            <w:r>
              <w:rPr>
                <w:b/>
                <w:color w:val="FFFFFF"/>
                <w:sz w:val="17"/>
              </w:rPr>
              <w:t>Option</w:t>
            </w:r>
          </w:p>
        </w:tc>
        <w:tc>
          <w:tcPr>
            <w:tcW w:type="dxa" w:w="3061"/>
            <w:shd w:val="clear" w:color="auto" w:fill="4F2D7F"/>
            <w:vAlign w:val="center"/>
          </w:tcPr>
          <w:p>
            <w:r/>
            <w:r>
              <w:rPr>
                <w:b/>
                <w:color w:val="FFFFFF"/>
                <w:sz w:val="17"/>
              </w:rPr>
              <w:t>When to use</w:t>
            </w:r>
          </w:p>
        </w:tc>
        <w:tc>
          <w:tcPr>
            <w:tcW w:type="dxa" w:w="5216"/>
            <w:shd w:val="clear" w:color="auto" w:fill="4F2D7F"/>
            <w:vAlign w:val="center"/>
          </w:tcPr>
          <w:p>
            <w:r/>
            <w:r>
              <w:rPr>
                <w:b/>
                <w:color w:val="FFFFFF"/>
                <w:sz w:val="17"/>
              </w:rPr>
              <w:t>Examples for AI systems</w:t>
            </w:r>
          </w:p>
        </w:tc>
      </w:tr>
      <w:tr>
        <w:tc>
          <w:tcPr>
            <w:tcW w:type="dxa" w:w="1361"/>
          </w:tcPr>
          <w:p>
            <w:pPr>
              <w:spacing w:after="20"/>
            </w:pPr>
            <w:r/>
            <w:r>
              <w:rPr>
                <w:b/>
                <w:sz w:val="17"/>
              </w:rPr>
              <w:t>Avoid</w:t>
            </w:r>
          </w:p>
        </w:tc>
        <w:tc>
          <w:tcPr>
            <w:tcW w:type="dxa" w:w="3061"/>
          </w:tcPr>
          <w:p>
            <w:pPr>
              <w:spacing w:after="20"/>
            </w:pPr>
            <w:r/>
            <w:r>
              <w:rPr>
                <w:sz w:val="17"/>
              </w:rPr>
              <w:t>Risk is unacceptable and cannot be reduced cost-effectively; prohibited practice</w:t>
            </w:r>
          </w:p>
        </w:tc>
        <w:tc>
          <w:tcPr>
            <w:tcW w:type="dxa" w:w="5216"/>
          </w:tcPr>
          <w:p>
            <w:pPr>
              <w:spacing w:after="20"/>
            </w:pPr>
            <w:r/>
            <w:r>
              <w:rPr>
                <w:sz w:val="17"/>
              </w:rPr>
              <w:t>Do not deploy; remove a high-risk feature (e.g., autonomous payment execution); restrict scope</w:t>
            </w:r>
          </w:p>
        </w:tc>
      </w:tr>
      <w:tr>
        <w:tc>
          <w:tcPr>
            <w:tcW w:type="dxa" w:w="1361"/>
            <w:shd w:val="clear" w:color="auto" w:fill="F7F4FB"/>
          </w:tcPr>
          <w:p>
            <w:pPr>
              <w:spacing w:after="20"/>
            </w:pPr>
            <w:r/>
            <w:r>
              <w:rPr>
                <w:b/>
                <w:sz w:val="17"/>
              </w:rPr>
              <w:t>Mitigate</w:t>
            </w:r>
          </w:p>
        </w:tc>
        <w:tc>
          <w:tcPr>
            <w:tcW w:type="dxa" w:w="3061"/>
            <w:shd w:val="clear" w:color="auto" w:fill="F7F4FB"/>
          </w:tcPr>
          <w:p>
            <w:pPr>
              <w:spacing w:after="20"/>
            </w:pPr>
            <w:r/>
            <w:r>
              <w:rPr>
                <w:sz w:val="17"/>
              </w:rPr>
              <w:t>Controls can reduce likelihood or impact to within appetite</w:t>
            </w:r>
          </w:p>
        </w:tc>
        <w:tc>
          <w:tcPr>
            <w:tcW w:type="dxa" w:w="5216"/>
            <w:shd w:val="clear" w:color="auto" w:fill="F7F4FB"/>
          </w:tcPr>
          <w:p>
            <w:pPr>
              <w:spacing w:after="20"/>
            </w:pPr>
            <w:r/>
            <w:r>
              <w:rPr>
                <w:sz w:val="17"/>
              </w:rPr>
              <w:t>Guardrails, human-in-the-loop, retrieval grounding, bias mitigation, PII redaction, least-privilege agent permissions, monitoring</w:t>
            </w:r>
          </w:p>
        </w:tc>
      </w:tr>
      <w:tr>
        <w:tc>
          <w:tcPr>
            <w:tcW w:type="dxa" w:w="1361"/>
          </w:tcPr>
          <w:p>
            <w:pPr>
              <w:spacing w:after="20"/>
            </w:pPr>
            <w:r/>
            <w:r>
              <w:rPr>
                <w:b/>
                <w:sz w:val="17"/>
              </w:rPr>
              <w:t>Transfer / share</w:t>
            </w:r>
          </w:p>
        </w:tc>
        <w:tc>
          <w:tcPr>
            <w:tcW w:type="dxa" w:w="3061"/>
          </w:tcPr>
          <w:p>
            <w:pPr>
              <w:spacing w:after="20"/>
            </w:pPr>
            <w:r/>
            <w:r>
              <w:rPr>
                <w:sz w:val="17"/>
              </w:rPr>
              <w:t>Part of the risk can be borne by a third party</w:t>
            </w:r>
          </w:p>
        </w:tc>
        <w:tc>
          <w:tcPr>
            <w:tcW w:type="dxa" w:w="5216"/>
          </w:tcPr>
          <w:p>
            <w:pPr>
              <w:spacing w:after="20"/>
            </w:pPr>
            <w:r/>
            <w:r>
              <w:rPr>
                <w:sz w:val="17"/>
              </w:rPr>
              <w:t>Contractual indemnities and SLAs with AI vendors; cyber / professional-indemnity insurance</w:t>
            </w:r>
          </w:p>
        </w:tc>
      </w:tr>
      <w:tr>
        <w:tc>
          <w:tcPr>
            <w:tcW w:type="dxa" w:w="1361"/>
            <w:shd w:val="clear" w:color="auto" w:fill="F7F4FB"/>
          </w:tcPr>
          <w:p>
            <w:pPr>
              <w:spacing w:after="20"/>
            </w:pPr>
            <w:r/>
            <w:r>
              <w:rPr>
                <w:b/>
                <w:sz w:val="17"/>
              </w:rPr>
              <w:t>Accept</w:t>
            </w:r>
          </w:p>
        </w:tc>
        <w:tc>
          <w:tcPr>
            <w:tcW w:type="dxa" w:w="3061"/>
            <w:shd w:val="clear" w:color="auto" w:fill="F7F4FB"/>
          </w:tcPr>
          <w:p>
            <w:pPr>
              <w:spacing w:after="20"/>
            </w:pPr>
            <w:r/>
            <w:r>
              <w:rPr>
                <w:sz w:val="17"/>
              </w:rPr>
              <w:t>Residual risk is within appetite, or formally accepted by the correct authority</w:t>
            </w:r>
          </w:p>
        </w:tc>
        <w:tc>
          <w:tcPr>
            <w:tcW w:type="dxa" w:w="5216"/>
            <w:shd w:val="clear" w:color="auto" w:fill="F7F4FB"/>
          </w:tcPr>
          <w:p>
            <w:pPr>
              <w:spacing w:after="20"/>
            </w:pPr>
            <w:r/>
            <w:r>
              <w:rPr>
                <w:sz w:val="17"/>
              </w:rPr>
              <w:t>Documented acceptance with rationale, conditions, owner and review date</w:t>
            </w:r>
          </w:p>
        </w:tc>
      </w:tr>
    </w:tbl>
    <w:p>
      <w:pPr>
        <w:spacing w:after="40"/>
      </w:pPr>
    </w:p>
    <w:p>
      <w:r>
        <w:rPr>
          <w:b w:val="0"/>
          <w:i w:val="0"/>
        </w:rPr>
        <w:t>Treatment plans specify the actions, RCM controls to implement, owner, due date and expected residual rating. For High and Critical tiers, treatment effectiveness must be verified by testing (e.g., bias testing, red teaming, independent validation - RCM RS-5, AA-3, LC-9) before approval.</w:t>
      </w:r>
    </w:p>
    <w:p>
      <w:pPr>
        <w:pStyle w:val="Heading2"/>
      </w:pPr>
      <w:r>
        <w:t>Stage 6 - Monitoring, review and reporting</w:t>
      </w:r>
    </w:p>
    <w:p>
      <w:pPr>
        <w:pStyle w:val="ListBullet"/>
        <w:spacing w:after="40"/>
      </w:pPr>
      <w:r>
        <w:rPr>
          <w:b/>
        </w:rPr>
        <w:t xml:space="preserve">KRIs: </w:t>
      </w:r>
      <w:r>
        <w:t>each material risk has at least one key risk indicator with thresholds and a mandatory response (e.g., drift score, hallucination rate, override rate, blocked injection attempts, complaints).</w:t>
      </w:r>
    </w:p>
    <w:p>
      <w:pPr>
        <w:pStyle w:val="ListBullet"/>
        <w:spacing w:after="40"/>
      </w:pPr>
      <w:r>
        <w:rPr>
          <w:b/>
        </w:rPr>
        <w:t xml:space="preserve">Re-assessment: </w:t>
      </w:r>
      <w:r>
        <w:t>per tier frequency (Critical quarterly, High six-monthly, Medium annually, Low every 24 months) and on any trigger in Section 2.3.</w:t>
      </w:r>
    </w:p>
    <w:p>
      <w:pPr>
        <w:pStyle w:val="ListBullet"/>
        <w:spacing w:after="40"/>
      </w:pPr>
      <w:r>
        <w:rPr>
          <w:b/>
        </w:rPr>
        <w:t xml:space="preserve">Reporting: </w:t>
      </w:r>
      <w:r>
        <w:t>portfolio-level AI risk dashboard to the AI Committee quarterly and to the board risk committee at least semi-annually - tier distribution, residual High/Critical risks, overdue actions, incidents and KRI breaches.</w:t>
      </w:r>
    </w:p>
    <w:p>
      <w:pPr>
        <w:pStyle w:val="ListBullet"/>
        <w:spacing w:after="40"/>
      </w:pPr>
      <w:r>
        <w:rPr>
          <w:b/>
        </w:rPr>
        <w:t xml:space="preserve">Incidents: </w:t>
      </w:r>
      <w:r>
        <w:t>AI incidents are managed through RCM IM-1 to IM-3, including regulatory notification (EU AI Act Art. 73, PDPL, CBB) where required, and feed back into risk ratings.</w:t>
      </w:r>
    </w:p>
    <w:p>
      <w:pPr>
        <w:pStyle w:val="Heading1"/>
      </w:pPr>
      <w:r>
        <w:t>7. GT AI risk taxonomy</w:t>
      </w:r>
    </w:p>
    <w:p>
      <w:r>
        <w:rPr>
          <w:b w:val="0"/>
          <w:i w:val="0"/>
        </w:rPr>
        <w:t>The taxonomy contains 52 risks in 12 categories. It consolidates the NIST AI 600-1 generative-AI risks, ISO/IEC 23894 risk sources, EU AI Act requirements, OWASP and MITRE ATLAS security threats and the GT AI Ready7 pillars. Each risk is linked to RCM v2.1 controls and an example KRI in the toolkit.</w:t>
      </w:r>
    </w:p>
    <w:p>
      <w:pPr>
        <w:pStyle w:val="Heading3"/>
      </w:pPr>
      <w:r>
        <w:t>7.1 Governance &amp; Accountability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GOV-01</w:t>
            </w:r>
          </w:p>
        </w:tc>
        <w:tc>
          <w:tcPr>
            <w:tcW w:type="dxa" w:w="2268"/>
          </w:tcPr>
          <w:p>
            <w:pPr>
              <w:spacing w:after="20"/>
            </w:pPr>
            <w:r/>
            <w:r>
              <w:rPr>
                <w:sz w:val="15"/>
              </w:rPr>
              <w:t>Unclear accountability for AI outcomes</w:t>
            </w:r>
          </w:p>
        </w:tc>
        <w:tc>
          <w:tcPr>
            <w:tcW w:type="dxa" w:w="4989"/>
          </w:tcPr>
          <w:p>
            <w:pPr>
              <w:spacing w:after="20"/>
            </w:pPr>
            <w:r/>
            <w:r>
              <w:rPr>
                <w:sz w:val="15"/>
              </w:rPr>
              <w:t>No named business or technical owner for an AI system; decisions and incidents cannot be attributed or escalated.</w:t>
            </w:r>
          </w:p>
        </w:tc>
        <w:tc>
          <w:tcPr>
            <w:tcW w:type="dxa" w:w="1531"/>
          </w:tcPr>
          <w:p>
            <w:pPr>
              <w:spacing w:after="20"/>
            </w:pPr>
            <w:r/>
            <w:r>
              <w:rPr>
                <w:sz w:val="15"/>
              </w:rPr>
              <w:t>GL-1, GL-2, GL-8</w:t>
            </w:r>
          </w:p>
        </w:tc>
      </w:tr>
      <w:tr>
        <w:tc>
          <w:tcPr>
            <w:tcW w:type="dxa" w:w="850"/>
            <w:shd w:val="clear" w:color="auto" w:fill="F7F4FB"/>
          </w:tcPr>
          <w:p>
            <w:pPr>
              <w:spacing w:after="20"/>
            </w:pPr>
            <w:r/>
            <w:r>
              <w:rPr>
                <w:b/>
                <w:sz w:val="15"/>
              </w:rPr>
              <w:t>GOV-02</w:t>
            </w:r>
          </w:p>
        </w:tc>
        <w:tc>
          <w:tcPr>
            <w:tcW w:type="dxa" w:w="2268"/>
            <w:shd w:val="clear" w:color="auto" w:fill="F7F4FB"/>
          </w:tcPr>
          <w:p>
            <w:pPr>
              <w:spacing w:after="20"/>
            </w:pPr>
            <w:r/>
            <w:r>
              <w:rPr>
                <w:sz w:val="15"/>
              </w:rPr>
              <w:t>Shadow / unsanctioned AI use</w:t>
            </w:r>
          </w:p>
        </w:tc>
        <w:tc>
          <w:tcPr>
            <w:tcW w:type="dxa" w:w="4989"/>
            <w:shd w:val="clear" w:color="auto" w:fill="F7F4FB"/>
          </w:tcPr>
          <w:p>
            <w:pPr>
              <w:spacing w:after="20"/>
            </w:pPr>
            <w:r/>
            <w:r>
              <w:rPr>
                <w:sz w:val="15"/>
              </w:rPr>
              <w:t>Staff use unapproved AI tools, bypassing risk assessment and exposing confidential data.</w:t>
            </w:r>
          </w:p>
        </w:tc>
        <w:tc>
          <w:tcPr>
            <w:tcW w:type="dxa" w:w="1531"/>
            <w:shd w:val="clear" w:color="auto" w:fill="F7F4FB"/>
          </w:tcPr>
          <w:p>
            <w:pPr>
              <w:spacing w:after="20"/>
            </w:pPr>
            <w:r/>
            <w:r>
              <w:rPr>
                <w:sz w:val="15"/>
              </w:rPr>
              <w:t>GL-5, GL-8</w:t>
            </w:r>
          </w:p>
        </w:tc>
      </w:tr>
      <w:tr>
        <w:tc>
          <w:tcPr>
            <w:tcW w:type="dxa" w:w="850"/>
          </w:tcPr>
          <w:p>
            <w:pPr>
              <w:spacing w:after="20"/>
            </w:pPr>
            <w:r/>
            <w:r>
              <w:rPr>
                <w:b/>
                <w:sz w:val="15"/>
              </w:rPr>
              <w:t>GOV-03</w:t>
            </w:r>
          </w:p>
        </w:tc>
        <w:tc>
          <w:tcPr>
            <w:tcW w:type="dxa" w:w="2268"/>
          </w:tcPr>
          <w:p>
            <w:pPr>
              <w:spacing w:after="20"/>
            </w:pPr>
            <w:r/>
            <w:r>
              <w:rPr>
                <w:sz w:val="15"/>
              </w:rPr>
              <w:t>AI deployed without adequate risk assessment</w:t>
            </w:r>
          </w:p>
        </w:tc>
        <w:tc>
          <w:tcPr>
            <w:tcW w:type="dxa" w:w="4989"/>
          </w:tcPr>
          <w:p>
            <w:pPr>
              <w:spacing w:after="20"/>
            </w:pPr>
            <w:r/>
            <w:r>
              <w:rPr>
                <w:sz w:val="15"/>
              </w:rPr>
              <w:t>Use case moves to production without tiering, impact assessment or approval proportionate to risk.</w:t>
            </w:r>
          </w:p>
        </w:tc>
        <w:tc>
          <w:tcPr>
            <w:tcW w:type="dxa" w:w="1531"/>
          </w:tcPr>
          <w:p>
            <w:pPr>
              <w:spacing w:after="20"/>
            </w:pPr>
            <w:r/>
            <w:r>
              <w:rPr>
                <w:sz w:val="15"/>
              </w:rPr>
              <w:t>RM-2, RM-5, GL-7</w:t>
            </w:r>
          </w:p>
        </w:tc>
      </w:tr>
      <w:tr>
        <w:tc>
          <w:tcPr>
            <w:tcW w:type="dxa" w:w="850"/>
            <w:shd w:val="clear" w:color="auto" w:fill="F7F4FB"/>
          </w:tcPr>
          <w:p>
            <w:pPr>
              <w:spacing w:after="20"/>
            </w:pPr>
            <w:r/>
            <w:r>
              <w:rPr>
                <w:b/>
                <w:sz w:val="15"/>
              </w:rPr>
              <w:t>GOV-04</w:t>
            </w:r>
          </w:p>
        </w:tc>
        <w:tc>
          <w:tcPr>
            <w:tcW w:type="dxa" w:w="2268"/>
            <w:shd w:val="clear" w:color="auto" w:fill="F7F4FB"/>
          </w:tcPr>
          <w:p>
            <w:pPr>
              <w:spacing w:after="20"/>
            </w:pPr>
            <w:r/>
            <w:r>
              <w:rPr>
                <w:sz w:val="15"/>
              </w:rPr>
              <w:t>Misaligned or low-value AI investment</w:t>
            </w:r>
          </w:p>
        </w:tc>
        <w:tc>
          <w:tcPr>
            <w:tcW w:type="dxa" w:w="4989"/>
            <w:shd w:val="clear" w:color="auto" w:fill="F7F4FB"/>
          </w:tcPr>
          <w:p>
            <w:pPr>
              <w:spacing w:after="20"/>
            </w:pPr>
            <w:r/>
            <w:r>
              <w:rPr>
                <w:sz w:val="15"/>
              </w:rPr>
              <w:t>AI initiatives lack defined benefits, leading to wasted spend and continued investment in ineffective or risky solutions.</w:t>
            </w:r>
          </w:p>
        </w:tc>
        <w:tc>
          <w:tcPr>
            <w:tcW w:type="dxa" w:w="1531"/>
            <w:shd w:val="clear" w:color="auto" w:fill="F7F4FB"/>
          </w:tcPr>
          <w:p>
            <w:pPr>
              <w:spacing w:after="20"/>
            </w:pPr>
            <w:r/>
            <w:r>
              <w:rPr>
                <w:sz w:val="15"/>
              </w:rPr>
              <w:t>GL-3, GL-6</w:t>
            </w:r>
          </w:p>
        </w:tc>
      </w:tr>
    </w:tbl>
    <w:p>
      <w:pPr>
        <w:spacing w:after="40"/>
      </w:pPr>
    </w:p>
    <w:p>
      <w:pPr>
        <w:pStyle w:val="Heading3"/>
      </w:pPr>
      <w:r>
        <w:t>7.2 Legal, Regulatory &amp; Compliance</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LEG-01</w:t>
            </w:r>
          </w:p>
        </w:tc>
        <w:tc>
          <w:tcPr>
            <w:tcW w:type="dxa" w:w="2268"/>
          </w:tcPr>
          <w:p>
            <w:pPr>
              <w:spacing w:after="20"/>
            </w:pPr>
            <w:r/>
            <w:r>
              <w:rPr>
                <w:sz w:val="15"/>
              </w:rPr>
              <w:t>Use of a prohibited AI practice</w:t>
            </w:r>
          </w:p>
        </w:tc>
        <w:tc>
          <w:tcPr>
            <w:tcW w:type="dxa" w:w="4989"/>
          </w:tcPr>
          <w:p>
            <w:pPr>
              <w:spacing w:after="20"/>
            </w:pPr>
            <w:r/>
            <w:r>
              <w:rPr>
                <w:sz w:val="15"/>
              </w:rPr>
              <w:t>AI system falls within a prohibited category (e.g., manipulative techniques, social scoring, workplace emotion recognition).</w:t>
            </w:r>
          </w:p>
        </w:tc>
        <w:tc>
          <w:tcPr>
            <w:tcW w:type="dxa" w:w="1531"/>
          </w:tcPr>
          <w:p>
            <w:pPr>
              <w:spacing w:after="20"/>
            </w:pPr>
            <w:r/>
            <w:r>
              <w:rPr>
                <w:sz w:val="15"/>
              </w:rPr>
              <w:t>RM-5, RS-2</w:t>
            </w:r>
          </w:p>
        </w:tc>
      </w:tr>
      <w:tr>
        <w:tc>
          <w:tcPr>
            <w:tcW w:type="dxa" w:w="850"/>
            <w:shd w:val="clear" w:color="auto" w:fill="F7F4FB"/>
          </w:tcPr>
          <w:p>
            <w:pPr>
              <w:spacing w:after="20"/>
            </w:pPr>
            <w:r/>
            <w:r>
              <w:rPr>
                <w:b/>
                <w:sz w:val="15"/>
              </w:rPr>
              <w:t>LEG-02</w:t>
            </w:r>
          </w:p>
        </w:tc>
        <w:tc>
          <w:tcPr>
            <w:tcW w:type="dxa" w:w="2268"/>
            <w:shd w:val="clear" w:color="auto" w:fill="F7F4FB"/>
          </w:tcPr>
          <w:p>
            <w:pPr>
              <w:spacing w:after="20"/>
            </w:pPr>
            <w:r/>
            <w:r>
              <w:rPr>
                <w:sz w:val="15"/>
              </w:rPr>
              <w:t>Non-compliance with high-risk AI obligations</w:t>
            </w:r>
          </w:p>
        </w:tc>
        <w:tc>
          <w:tcPr>
            <w:tcW w:type="dxa" w:w="4989"/>
            <w:shd w:val="clear" w:color="auto" w:fill="F7F4FB"/>
          </w:tcPr>
          <w:p>
            <w:pPr>
              <w:spacing w:after="20"/>
            </w:pPr>
            <w:r/>
            <w:r>
              <w:rPr>
                <w:sz w:val="15"/>
              </w:rPr>
              <w:t>Provider or deployer duties (risk management, data governance, logging, oversight, FRIA, registration) not met for a high-risk system.</w:t>
            </w:r>
          </w:p>
        </w:tc>
        <w:tc>
          <w:tcPr>
            <w:tcW w:type="dxa" w:w="1531"/>
            <w:shd w:val="clear" w:color="auto" w:fill="F7F4FB"/>
          </w:tcPr>
          <w:p>
            <w:pPr>
              <w:spacing w:after="20"/>
            </w:pPr>
            <w:r/>
            <w:r>
              <w:rPr>
                <w:sz w:val="15"/>
              </w:rPr>
              <w:t>RO-1, RO-6, RM-5</w:t>
            </w:r>
          </w:p>
        </w:tc>
      </w:tr>
      <w:tr>
        <w:tc>
          <w:tcPr>
            <w:tcW w:type="dxa" w:w="850"/>
          </w:tcPr>
          <w:p>
            <w:pPr>
              <w:spacing w:after="20"/>
            </w:pPr>
            <w:r/>
            <w:r>
              <w:rPr>
                <w:b/>
                <w:sz w:val="15"/>
              </w:rPr>
              <w:t>LEG-03</w:t>
            </w:r>
          </w:p>
        </w:tc>
        <w:tc>
          <w:tcPr>
            <w:tcW w:type="dxa" w:w="2268"/>
          </w:tcPr>
          <w:p>
            <w:pPr>
              <w:spacing w:after="20"/>
            </w:pPr>
            <w:r/>
            <w:r>
              <w:rPr>
                <w:sz w:val="15"/>
              </w:rPr>
              <w:t>Breach of sector or local regulation</w:t>
            </w:r>
          </w:p>
        </w:tc>
        <w:tc>
          <w:tcPr>
            <w:tcW w:type="dxa" w:w="4989"/>
          </w:tcPr>
          <w:p>
            <w:pPr>
              <w:spacing w:after="20"/>
            </w:pPr>
            <w:r/>
            <w:r>
              <w:rPr>
                <w:sz w:val="15"/>
              </w:rPr>
              <w:t>AI use breaches Bahrain PDPL, CBB Rulebook, iGA policy or other applicable regimes (incl. KSA/UAE where operating).</w:t>
            </w:r>
          </w:p>
        </w:tc>
        <w:tc>
          <w:tcPr>
            <w:tcW w:type="dxa" w:w="1531"/>
          </w:tcPr>
          <w:p>
            <w:pPr>
              <w:spacing w:after="20"/>
            </w:pPr>
            <w:r/>
            <w:r>
              <w:rPr>
                <w:sz w:val="15"/>
              </w:rPr>
              <w:t>RO-5, PR-1, TP-3</w:t>
            </w:r>
          </w:p>
        </w:tc>
      </w:tr>
      <w:tr>
        <w:tc>
          <w:tcPr>
            <w:tcW w:type="dxa" w:w="850"/>
            <w:shd w:val="clear" w:color="auto" w:fill="F7F4FB"/>
          </w:tcPr>
          <w:p>
            <w:pPr>
              <w:spacing w:after="20"/>
            </w:pPr>
            <w:r/>
            <w:r>
              <w:rPr>
                <w:b/>
                <w:sz w:val="15"/>
              </w:rPr>
              <w:t>LEG-04</w:t>
            </w:r>
          </w:p>
        </w:tc>
        <w:tc>
          <w:tcPr>
            <w:tcW w:type="dxa" w:w="2268"/>
            <w:shd w:val="clear" w:color="auto" w:fill="F7F4FB"/>
          </w:tcPr>
          <w:p>
            <w:pPr>
              <w:spacing w:after="20"/>
            </w:pPr>
            <w:r/>
            <w:r>
              <w:rPr>
                <w:sz w:val="15"/>
              </w:rPr>
              <w:t>Intellectual property / copyright infringement</w:t>
            </w:r>
          </w:p>
        </w:tc>
        <w:tc>
          <w:tcPr>
            <w:tcW w:type="dxa" w:w="4989"/>
            <w:shd w:val="clear" w:color="auto" w:fill="F7F4FB"/>
          </w:tcPr>
          <w:p>
            <w:pPr>
              <w:spacing w:after="20"/>
            </w:pPr>
            <w:r/>
            <w:r>
              <w:rPr>
                <w:sz w:val="15"/>
              </w:rPr>
              <w:t>Training data, prompts or outputs infringe third-party IP, licence terms or client confidentiality.</w:t>
            </w:r>
          </w:p>
        </w:tc>
        <w:tc>
          <w:tcPr>
            <w:tcW w:type="dxa" w:w="1531"/>
            <w:shd w:val="clear" w:color="auto" w:fill="F7F4FB"/>
          </w:tcPr>
          <w:p>
            <w:pPr>
              <w:spacing w:after="20"/>
            </w:pPr>
            <w:r/>
            <w:r>
              <w:rPr>
                <w:sz w:val="15"/>
              </w:rPr>
              <w:t>LC-11, LC-6</w:t>
            </w:r>
          </w:p>
        </w:tc>
      </w:tr>
      <w:tr>
        <w:tc>
          <w:tcPr>
            <w:tcW w:type="dxa" w:w="850"/>
          </w:tcPr>
          <w:p>
            <w:pPr>
              <w:spacing w:after="20"/>
            </w:pPr>
            <w:r/>
            <w:r>
              <w:rPr>
                <w:b/>
                <w:sz w:val="15"/>
              </w:rPr>
              <w:t>LEG-05</w:t>
            </w:r>
          </w:p>
        </w:tc>
        <w:tc>
          <w:tcPr>
            <w:tcW w:type="dxa" w:w="2268"/>
          </w:tcPr>
          <w:p>
            <w:pPr>
              <w:spacing w:after="20"/>
            </w:pPr>
            <w:r/>
            <w:r>
              <w:rPr>
                <w:sz w:val="15"/>
              </w:rPr>
              <w:t>Liability for AI-caused harm</w:t>
            </w:r>
          </w:p>
        </w:tc>
        <w:tc>
          <w:tcPr>
            <w:tcW w:type="dxa" w:w="4989"/>
          </w:tcPr>
          <w:p>
            <w:pPr>
              <w:spacing w:after="20"/>
            </w:pPr>
            <w:r/>
            <w:r>
              <w:rPr>
                <w:sz w:val="15"/>
              </w:rPr>
              <w:t>Organisation is liable for damage caused by AI outputs or actions (contractual, tort or product liability).</w:t>
            </w:r>
          </w:p>
        </w:tc>
        <w:tc>
          <w:tcPr>
            <w:tcW w:type="dxa" w:w="1531"/>
          </w:tcPr>
          <w:p>
            <w:pPr>
              <w:spacing w:after="20"/>
            </w:pPr>
            <w:r/>
            <w:r>
              <w:rPr>
                <w:sz w:val="15"/>
              </w:rPr>
              <w:t>TP-3, CO-3, IM-2</w:t>
            </w:r>
          </w:p>
        </w:tc>
      </w:tr>
    </w:tbl>
    <w:p>
      <w:pPr>
        <w:spacing w:after="40"/>
      </w:pPr>
    </w:p>
    <w:p>
      <w:pPr>
        <w:pStyle w:val="Heading3"/>
      </w:pPr>
      <w:r>
        <w:t>7.3 Fairness, Bias &amp; Human Rights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FAI-01</w:t>
            </w:r>
          </w:p>
        </w:tc>
        <w:tc>
          <w:tcPr>
            <w:tcW w:type="dxa" w:w="2268"/>
          </w:tcPr>
          <w:p>
            <w:pPr>
              <w:spacing w:after="20"/>
            </w:pPr>
            <w:r/>
            <w:r>
              <w:rPr>
                <w:sz w:val="15"/>
              </w:rPr>
              <w:t>Discriminatory or biased outcomes</w:t>
            </w:r>
          </w:p>
        </w:tc>
        <w:tc>
          <w:tcPr>
            <w:tcW w:type="dxa" w:w="4989"/>
          </w:tcPr>
          <w:p>
            <w:pPr>
              <w:spacing w:after="20"/>
            </w:pPr>
            <w:r/>
            <w:r>
              <w:rPr>
                <w:sz w:val="15"/>
              </w:rPr>
              <w:t>Model produces systematically different outcomes for protected or vulnerable groups (e.g., gender, nationality, age).</w:t>
            </w:r>
          </w:p>
        </w:tc>
        <w:tc>
          <w:tcPr>
            <w:tcW w:type="dxa" w:w="1531"/>
          </w:tcPr>
          <w:p>
            <w:pPr>
              <w:spacing w:after="20"/>
            </w:pPr>
            <w:r/>
            <w:r>
              <w:rPr>
                <w:sz w:val="15"/>
              </w:rPr>
              <w:t>RS-5, LC-1</w:t>
            </w:r>
          </w:p>
        </w:tc>
      </w:tr>
      <w:tr>
        <w:tc>
          <w:tcPr>
            <w:tcW w:type="dxa" w:w="850"/>
            <w:shd w:val="clear" w:color="auto" w:fill="F7F4FB"/>
          </w:tcPr>
          <w:p>
            <w:pPr>
              <w:spacing w:after="20"/>
            </w:pPr>
            <w:r/>
            <w:r>
              <w:rPr>
                <w:b/>
                <w:sz w:val="15"/>
              </w:rPr>
              <w:t>FAI-02</w:t>
            </w:r>
          </w:p>
        </w:tc>
        <w:tc>
          <w:tcPr>
            <w:tcW w:type="dxa" w:w="2268"/>
            <w:shd w:val="clear" w:color="auto" w:fill="F7F4FB"/>
          </w:tcPr>
          <w:p>
            <w:pPr>
              <w:spacing w:after="20"/>
            </w:pPr>
            <w:r/>
            <w:r>
              <w:rPr>
                <w:sz w:val="15"/>
              </w:rPr>
              <w:t>Unrepresentative training or evaluation data</w:t>
            </w:r>
          </w:p>
        </w:tc>
        <w:tc>
          <w:tcPr>
            <w:tcW w:type="dxa" w:w="4989"/>
            <w:shd w:val="clear" w:color="auto" w:fill="F7F4FB"/>
          </w:tcPr>
          <w:p>
            <w:pPr>
              <w:spacing w:after="20"/>
            </w:pPr>
            <w:r/>
            <w:r>
              <w:rPr>
                <w:sz w:val="15"/>
              </w:rPr>
              <w:t>Data does not reflect the population or context of use (e.g., Arabic dialects, local customer segments).</w:t>
            </w:r>
          </w:p>
        </w:tc>
        <w:tc>
          <w:tcPr>
            <w:tcW w:type="dxa" w:w="1531"/>
            <w:shd w:val="clear" w:color="auto" w:fill="F7F4FB"/>
          </w:tcPr>
          <w:p>
            <w:pPr>
              <w:spacing w:after="20"/>
            </w:pPr>
            <w:r/>
            <w:r>
              <w:rPr>
                <w:sz w:val="15"/>
              </w:rPr>
              <w:t>LC-1, RS-7</w:t>
            </w:r>
          </w:p>
        </w:tc>
      </w:tr>
      <w:tr>
        <w:tc>
          <w:tcPr>
            <w:tcW w:type="dxa" w:w="850"/>
          </w:tcPr>
          <w:p>
            <w:pPr>
              <w:spacing w:after="20"/>
            </w:pPr>
            <w:r/>
            <w:r>
              <w:rPr>
                <w:b/>
                <w:sz w:val="15"/>
              </w:rPr>
              <w:t>FAI-03</w:t>
            </w:r>
          </w:p>
        </w:tc>
        <w:tc>
          <w:tcPr>
            <w:tcW w:type="dxa" w:w="2268"/>
          </w:tcPr>
          <w:p>
            <w:pPr>
              <w:spacing w:after="20"/>
            </w:pPr>
            <w:r/>
            <w:r>
              <w:rPr>
                <w:sz w:val="15"/>
              </w:rPr>
              <w:t>Infringement of fundamental rights / dignity</w:t>
            </w:r>
          </w:p>
        </w:tc>
        <w:tc>
          <w:tcPr>
            <w:tcW w:type="dxa" w:w="4989"/>
          </w:tcPr>
          <w:p>
            <w:pPr>
              <w:spacing w:after="20"/>
            </w:pPr>
            <w:r/>
            <w:r>
              <w:rPr>
                <w:sz w:val="15"/>
              </w:rPr>
              <w:t>AI use undermines autonomy, dignity, freedom of expression or access to essential services.</w:t>
            </w:r>
          </w:p>
        </w:tc>
        <w:tc>
          <w:tcPr>
            <w:tcW w:type="dxa" w:w="1531"/>
          </w:tcPr>
          <w:p>
            <w:pPr>
              <w:spacing w:after="20"/>
            </w:pPr>
            <w:r/>
            <w:r>
              <w:rPr>
                <w:sz w:val="15"/>
              </w:rPr>
              <w:t>RM-2, RO-6</w:t>
            </w:r>
          </w:p>
        </w:tc>
      </w:tr>
      <w:tr>
        <w:tc>
          <w:tcPr>
            <w:tcW w:type="dxa" w:w="850"/>
            <w:shd w:val="clear" w:color="auto" w:fill="F7F4FB"/>
          </w:tcPr>
          <w:p>
            <w:pPr>
              <w:spacing w:after="20"/>
            </w:pPr>
            <w:r/>
            <w:r>
              <w:rPr>
                <w:b/>
                <w:sz w:val="15"/>
              </w:rPr>
              <w:t>FAI-04</w:t>
            </w:r>
          </w:p>
        </w:tc>
        <w:tc>
          <w:tcPr>
            <w:tcW w:type="dxa" w:w="2268"/>
            <w:shd w:val="clear" w:color="auto" w:fill="F7F4FB"/>
          </w:tcPr>
          <w:p>
            <w:pPr>
              <w:spacing w:after="20"/>
            </w:pPr>
            <w:r/>
            <w:r>
              <w:rPr>
                <w:sz w:val="15"/>
              </w:rPr>
              <w:t>Exclusion and accessibility barriers</w:t>
            </w:r>
          </w:p>
        </w:tc>
        <w:tc>
          <w:tcPr>
            <w:tcW w:type="dxa" w:w="4989"/>
            <w:shd w:val="clear" w:color="auto" w:fill="F7F4FB"/>
          </w:tcPr>
          <w:p>
            <w:pPr>
              <w:spacing w:after="20"/>
            </w:pPr>
            <w:r/>
            <w:r>
              <w:rPr>
                <w:sz w:val="15"/>
              </w:rPr>
              <w:t>Persons with disabilities, low digital literacy or non-English speakers cannot use or benefit from AI services.</w:t>
            </w:r>
          </w:p>
        </w:tc>
        <w:tc>
          <w:tcPr>
            <w:tcW w:type="dxa" w:w="1531"/>
            <w:shd w:val="clear" w:color="auto" w:fill="F7F4FB"/>
          </w:tcPr>
          <w:p>
            <w:pPr>
              <w:spacing w:after="20"/>
            </w:pPr>
            <w:r/>
            <w:r>
              <w:rPr>
                <w:sz w:val="15"/>
              </w:rPr>
              <w:t>RS-7</w:t>
            </w:r>
          </w:p>
        </w:tc>
      </w:tr>
    </w:tbl>
    <w:p>
      <w:pPr>
        <w:spacing w:after="40"/>
      </w:pPr>
    </w:p>
    <w:p>
      <w:pPr>
        <w:pStyle w:val="Heading3"/>
      </w:pPr>
      <w:r>
        <w:t>7.4 Privacy &amp; Data Protection</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PRI-01</w:t>
            </w:r>
          </w:p>
        </w:tc>
        <w:tc>
          <w:tcPr>
            <w:tcW w:type="dxa" w:w="2268"/>
          </w:tcPr>
          <w:p>
            <w:pPr>
              <w:spacing w:after="20"/>
            </w:pPr>
            <w:r/>
            <w:r>
              <w:rPr>
                <w:sz w:val="15"/>
              </w:rPr>
              <w:t>Unlawful processing of personal data</w:t>
            </w:r>
          </w:p>
        </w:tc>
        <w:tc>
          <w:tcPr>
            <w:tcW w:type="dxa" w:w="4989"/>
          </w:tcPr>
          <w:p>
            <w:pPr>
              <w:spacing w:after="20"/>
            </w:pPr>
            <w:r/>
            <w:r>
              <w:rPr>
                <w:sz w:val="15"/>
              </w:rPr>
              <w:t>Personal data used for AI without lawful basis, beyond original purpose, or without notice.</w:t>
            </w:r>
          </w:p>
        </w:tc>
        <w:tc>
          <w:tcPr>
            <w:tcW w:type="dxa" w:w="1531"/>
          </w:tcPr>
          <w:p>
            <w:pPr>
              <w:spacing w:after="20"/>
            </w:pPr>
            <w:r/>
            <w:r>
              <w:rPr>
                <w:sz w:val="15"/>
              </w:rPr>
              <w:t>PR-1, PR-2</w:t>
            </w:r>
          </w:p>
        </w:tc>
      </w:tr>
      <w:tr>
        <w:tc>
          <w:tcPr>
            <w:tcW w:type="dxa" w:w="850"/>
            <w:shd w:val="clear" w:color="auto" w:fill="F7F4FB"/>
          </w:tcPr>
          <w:p>
            <w:pPr>
              <w:spacing w:after="20"/>
            </w:pPr>
            <w:r/>
            <w:r>
              <w:rPr>
                <w:b/>
                <w:sz w:val="15"/>
              </w:rPr>
              <w:t>PRI-02</w:t>
            </w:r>
          </w:p>
        </w:tc>
        <w:tc>
          <w:tcPr>
            <w:tcW w:type="dxa" w:w="2268"/>
            <w:shd w:val="clear" w:color="auto" w:fill="F7F4FB"/>
          </w:tcPr>
          <w:p>
            <w:pPr>
              <w:spacing w:after="20"/>
            </w:pPr>
            <w:r/>
            <w:r>
              <w:rPr>
                <w:sz w:val="15"/>
              </w:rPr>
              <w:t>Leakage of confidential / personal data via AI</w:t>
            </w:r>
          </w:p>
        </w:tc>
        <w:tc>
          <w:tcPr>
            <w:tcW w:type="dxa" w:w="4989"/>
            <w:shd w:val="clear" w:color="auto" w:fill="F7F4FB"/>
          </w:tcPr>
          <w:p>
            <w:pPr>
              <w:spacing w:after="20"/>
            </w:pPr>
            <w:r/>
            <w:r>
              <w:rPr>
                <w:sz w:val="15"/>
              </w:rPr>
              <w:t>Sensitive data entered into prompts, memorised by models or exposed in outputs / logs.</w:t>
            </w:r>
          </w:p>
        </w:tc>
        <w:tc>
          <w:tcPr>
            <w:tcW w:type="dxa" w:w="1531"/>
            <w:shd w:val="clear" w:color="auto" w:fill="F7F4FB"/>
          </w:tcPr>
          <w:p>
            <w:pPr>
              <w:spacing w:after="20"/>
            </w:pPr>
            <w:r/>
            <w:r>
              <w:rPr>
                <w:sz w:val="15"/>
              </w:rPr>
              <w:t>GL-5, SE-4, PR-4</w:t>
            </w:r>
          </w:p>
        </w:tc>
      </w:tr>
      <w:tr>
        <w:tc>
          <w:tcPr>
            <w:tcW w:type="dxa" w:w="850"/>
          </w:tcPr>
          <w:p>
            <w:pPr>
              <w:spacing w:after="20"/>
            </w:pPr>
            <w:r/>
            <w:r>
              <w:rPr>
                <w:b/>
                <w:sz w:val="15"/>
              </w:rPr>
              <w:t>PRI-03</w:t>
            </w:r>
          </w:p>
        </w:tc>
        <w:tc>
          <w:tcPr>
            <w:tcW w:type="dxa" w:w="2268"/>
          </w:tcPr>
          <w:p>
            <w:pPr>
              <w:spacing w:after="20"/>
            </w:pPr>
            <w:r/>
            <w:r>
              <w:rPr>
                <w:sz w:val="15"/>
              </w:rPr>
              <w:t>Unassessed cross-border data transfer</w:t>
            </w:r>
          </w:p>
        </w:tc>
        <w:tc>
          <w:tcPr>
            <w:tcW w:type="dxa" w:w="4989"/>
          </w:tcPr>
          <w:p>
            <w:pPr>
              <w:spacing w:after="20"/>
            </w:pPr>
            <w:r/>
            <w:r>
              <w:rPr>
                <w:sz w:val="15"/>
              </w:rPr>
              <w:t>AI service processes data outside Bahrain without transfer assessment or safeguards.</w:t>
            </w:r>
          </w:p>
        </w:tc>
        <w:tc>
          <w:tcPr>
            <w:tcW w:type="dxa" w:w="1531"/>
          </w:tcPr>
          <w:p>
            <w:pPr>
              <w:spacing w:after="20"/>
            </w:pPr>
            <w:r/>
            <w:r>
              <w:rPr>
                <w:sz w:val="15"/>
              </w:rPr>
              <w:t>PR-6</w:t>
            </w:r>
          </w:p>
        </w:tc>
      </w:tr>
      <w:tr>
        <w:tc>
          <w:tcPr>
            <w:tcW w:type="dxa" w:w="850"/>
            <w:shd w:val="clear" w:color="auto" w:fill="F7F4FB"/>
          </w:tcPr>
          <w:p>
            <w:pPr>
              <w:spacing w:after="20"/>
            </w:pPr>
            <w:r/>
            <w:r>
              <w:rPr>
                <w:b/>
                <w:sz w:val="15"/>
              </w:rPr>
              <w:t>PRI-04</w:t>
            </w:r>
          </w:p>
        </w:tc>
        <w:tc>
          <w:tcPr>
            <w:tcW w:type="dxa" w:w="2268"/>
            <w:shd w:val="clear" w:color="auto" w:fill="F7F4FB"/>
          </w:tcPr>
          <w:p>
            <w:pPr>
              <w:spacing w:after="20"/>
            </w:pPr>
            <w:r/>
            <w:r>
              <w:rPr>
                <w:sz w:val="15"/>
              </w:rPr>
              <w:t>Inability to honour data-subject rights</w:t>
            </w:r>
          </w:p>
        </w:tc>
        <w:tc>
          <w:tcPr>
            <w:tcW w:type="dxa" w:w="4989"/>
            <w:shd w:val="clear" w:color="auto" w:fill="F7F4FB"/>
          </w:tcPr>
          <w:p>
            <w:pPr>
              <w:spacing w:after="20"/>
            </w:pPr>
            <w:r/>
            <w:r>
              <w:rPr>
                <w:sz w:val="15"/>
              </w:rPr>
              <w:t>Access, objection, rectification or erasure requests cannot be fulfilled for data embedded in models or vector stores.</w:t>
            </w:r>
          </w:p>
        </w:tc>
        <w:tc>
          <w:tcPr>
            <w:tcW w:type="dxa" w:w="1531"/>
            <w:shd w:val="clear" w:color="auto" w:fill="F7F4FB"/>
          </w:tcPr>
          <w:p>
            <w:pPr>
              <w:spacing w:after="20"/>
            </w:pPr>
            <w:r/>
            <w:r>
              <w:rPr>
                <w:sz w:val="15"/>
              </w:rPr>
              <w:t>PR-5</w:t>
            </w:r>
          </w:p>
        </w:tc>
      </w:tr>
      <w:tr>
        <w:tc>
          <w:tcPr>
            <w:tcW w:type="dxa" w:w="850"/>
          </w:tcPr>
          <w:p>
            <w:pPr>
              <w:spacing w:after="20"/>
            </w:pPr>
            <w:r/>
            <w:r>
              <w:rPr>
                <w:b/>
                <w:sz w:val="15"/>
              </w:rPr>
              <w:t>PRI-05</w:t>
            </w:r>
          </w:p>
        </w:tc>
        <w:tc>
          <w:tcPr>
            <w:tcW w:type="dxa" w:w="2268"/>
          </w:tcPr>
          <w:p>
            <w:pPr>
              <w:spacing w:after="20"/>
            </w:pPr>
            <w:r/>
            <w:r>
              <w:rPr>
                <w:sz w:val="15"/>
              </w:rPr>
              <w:t>Re-identification / inference of sensitive attributes</w:t>
            </w:r>
          </w:p>
        </w:tc>
        <w:tc>
          <w:tcPr>
            <w:tcW w:type="dxa" w:w="4989"/>
          </w:tcPr>
          <w:p>
            <w:pPr>
              <w:spacing w:after="20"/>
            </w:pPr>
            <w:r/>
            <w:r>
              <w:rPr>
                <w:sz w:val="15"/>
              </w:rPr>
              <w:t>Model infers sensitive attributes or re-identifies individuals from anonymised data.</w:t>
            </w:r>
          </w:p>
        </w:tc>
        <w:tc>
          <w:tcPr>
            <w:tcW w:type="dxa" w:w="1531"/>
          </w:tcPr>
          <w:p>
            <w:pPr>
              <w:spacing w:after="20"/>
            </w:pPr>
            <w:r/>
            <w:r>
              <w:rPr>
                <w:sz w:val="15"/>
              </w:rPr>
              <w:t>PR-4, SE-6</w:t>
            </w:r>
          </w:p>
        </w:tc>
      </w:tr>
    </w:tbl>
    <w:p>
      <w:pPr>
        <w:spacing w:after="40"/>
      </w:pPr>
    </w:p>
    <w:p>
      <w:pPr>
        <w:pStyle w:val="Heading3"/>
      </w:pPr>
      <w:r>
        <w:t>7.5 Data Quality &amp; Integrity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DAT-01</w:t>
            </w:r>
          </w:p>
        </w:tc>
        <w:tc>
          <w:tcPr>
            <w:tcW w:type="dxa" w:w="2268"/>
          </w:tcPr>
          <w:p>
            <w:pPr>
              <w:spacing w:after="20"/>
            </w:pPr>
            <w:r/>
            <w:r>
              <w:rPr>
                <w:sz w:val="15"/>
              </w:rPr>
              <w:t>Poor data quality</w:t>
            </w:r>
          </w:p>
        </w:tc>
        <w:tc>
          <w:tcPr>
            <w:tcW w:type="dxa" w:w="4989"/>
          </w:tcPr>
          <w:p>
            <w:pPr>
              <w:spacing w:after="20"/>
            </w:pPr>
            <w:r/>
            <w:r>
              <w:rPr>
                <w:sz w:val="15"/>
              </w:rPr>
              <w:t>Incomplete, inaccurate, stale or inconsistent data degrades model outputs.</w:t>
            </w:r>
          </w:p>
        </w:tc>
        <w:tc>
          <w:tcPr>
            <w:tcW w:type="dxa" w:w="1531"/>
          </w:tcPr>
          <w:p>
            <w:pPr>
              <w:spacing w:after="20"/>
            </w:pPr>
            <w:r/>
            <w:r>
              <w:rPr>
                <w:sz w:val="15"/>
              </w:rPr>
              <w:t>LC-1</w:t>
            </w:r>
          </w:p>
        </w:tc>
      </w:tr>
      <w:tr>
        <w:tc>
          <w:tcPr>
            <w:tcW w:type="dxa" w:w="850"/>
            <w:shd w:val="clear" w:color="auto" w:fill="F7F4FB"/>
          </w:tcPr>
          <w:p>
            <w:pPr>
              <w:spacing w:after="20"/>
            </w:pPr>
            <w:r/>
            <w:r>
              <w:rPr>
                <w:b/>
                <w:sz w:val="15"/>
              </w:rPr>
              <w:t>DAT-02</w:t>
            </w:r>
          </w:p>
        </w:tc>
        <w:tc>
          <w:tcPr>
            <w:tcW w:type="dxa" w:w="2268"/>
            <w:shd w:val="clear" w:color="auto" w:fill="F7F4FB"/>
          </w:tcPr>
          <w:p>
            <w:pPr>
              <w:spacing w:after="20"/>
            </w:pPr>
            <w:r/>
            <w:r>
              <w:rPr>
                <w:sz w:val="15"/>
              </w:rPr>
              <w:t>Lack of data provenance and lineage</w:t>
            </w:r>
          </w:p>
        </w:tc>
        <w:tc>
          <w:tcPr>
            <w:tcW w:type="dxa" w:w="4989"/>
            <w:shd w:val="clear" w:color="auto" w:fill="F7F4FB"/>
          </w:tcPr>
          <w:p>
            <w:pPr>
              <w:spacing w:after="20"/>
            </w:pPr>
            <w:r/>
            <w:r>
              <w:rPr>
                <w:sz w:val="15"/>
              </w:rPr>
              <w:t>Origin, transformations and rights of data cannot be traced, undermining defensibility.</w:t>
            </w:r>
          </w:p>
        </w:tc>
        <w:tc>
          <w:tcPr>
            <w:tcW w:type="dxa" w:w="1531"/>
            <w:shd w:val="clear" w:color="auto" w:fill="F7F4FB"/>
          </w:tcPr>
          <w:p>
            <w:pPr>
              <w:spacing w:after="20"/>
            </w:pPr>
            <w:r/>
            <w:r>
              <w:rPr>
                <w:sz w:val="15"/>
              </w:rPr>
              <w:t>LC-1, LC-11</w:t>
            </w:r>
          </w:p>
        </w:tc>
      </w:tr>
      <w:tr>
        <w:tc>
          <w:tcPr>
            <w:tcW w:type="dxa" w:w="850"/>
          </w:tcPr>
          <w:p>
            <w:pPr>
              <w:spacing w:after="20"/>
            </w:pPr>
            <w:r/>
            <w:r>
              <w:rPr>
                <w:b/>
                <w:sz w:val="15"/>
              </w:rPr>
              <w:t>DAT-03</w:t>
            </w:r>
          </w:p>
        </w:tc>
        <w:tc>
          <w:tcPr>
            <w:tcW w:type="dxa" w:w="2268"/>
          </w:tcPr>
          <w:p>
            <w:pPr>
              <w:spacing w:after="20"/>
            </w:pPr>
            <w:r/>
            <w:r>
              <w:rPr>
                <w:sz w:val="15"/>
              </w:rPr>
              <w:t>Data / model drift</w:t>
            </w:r>
          </w:p>
        </w:tc>
        <w:tc>
          <w:tcPr>
            <w:tcW w:type="dxa" w:w="4989"/>
          </w:tcPr>
          <w:p>
            <w:pPr>
              <w:spacing w:after="20"/>
            </w:pPr>
            <w:r/>
            <w:r>
              <w:rPr>
                <w:sz w:val="15"/>
              </w:rPr>
              <w:t>Changes in input data distribution or real-world relationships reduce performance over time.</w:t>
            </w:r>
          </w:p>
        </w:tc>
        <w:tc>
          <w:tcPr>
            <w:tcW w:type="dxa" w:w="1531"/>
          </w:tcPr>
          <w:p>
            <w:pPr>
              <w:spacing w:after="20"/>
            </w:pPr>
            <w:r/>
            <w:r>
              <w:rPr>
                <w:sz w:val="15"/>
              </w:rPr>
              <w:t>OM-1, RM-6</w:t>
            </w:r>
          </w:p>
        </w:tc>
      </w:tr>
    </w:tbl>
    <w:p>
      <w:pPr>
        <w:spacing w:after="40"/>
      </w:pPr>
    </w:p>
    <w:p>
      <w:pPr>
        <w:pStyle w:val="Heading3"/>
      </w:pPr>
      <w:r>
        <w:t>7.6 Model Performance, Reliability &amp; Robustness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PER-01</w:t>
            </w:r>
          </w:p>
        </w:tc>
        <w:tc>
          <w:tcPr>
            <w:tcW w:type="dxa" w:w="2268"/>
          </w:tcPr>
          <w:p>
            <w:pPr>
              <w:spacing w:after="20"/>
            </w:pPr>
            <w:r/>
            <w:r>
              <w:rPr>
                <w:sz w:val="15"/>
              </w:rPr>
              <w:t>Inaccurate or unreliable outputs</w:t>
            </w:r>
          </w:p>
        </w:tc>
        <w:tc>
          <w:tcPr>
            <w:tcW w:type="dxa" w:w="4989"/>
          </w:tcPr>
          <w:p>
            <w:pPr>
              <w:spacing w:after="20"/>
            </w:pPr>
            <w:r/>
            <w:r>
              <w:rPr>
                <w:sz w:val="15"/>
              </w:rPr>
              <w:t>Model error rates exceed acceptable levels for the intended purpose.</w:t>
            </w:r>
          </w:p>
        </w:tc>
        <w:tc>
          <w:tcPr>
            <w:tcW w:type="dxa" w:w="1531"/>
          </w:tcPr>
          <w:p>
            <w:pPr>
              <w:spacing w:after="20"/>
            </w:pPr>
            <w:r/>
            <w:r>
              <w:rPr>
                <w:sz w:val="15"/>
              </w:rPr>
              <w:t>RS-6, LC-9</w:t>
            </w:r>
          </w:p>
        </w:tc>
      </w:tr>
      <w:tr>
        <w:tc>
          <w:tcPr>
            <w:tcW w:type="dxa" w:w="850"/>
            <w:shd w:val="clear" w:color="auto" w:fill="F7F4FB"/>
          </w:tcPr>
          <w:p>
            <w:pPr>
              <w:spacing w:after="20"/>
            </w:pPr>
            <w:r/>
            <w:r>
              <w:rPr>
                <w:b/>
                <w:sz w:val="15"/>
              </w:rPr>
              <w:t>PER-02</w:t>
            </w:r>
          </w:p>
        </w:tc>
        <w:tc>
          <w:tcPr>
            <w:tcW w:type="dxa" w:w="2268"/>
            <w:shd w:val="clear" w:color="auto" w:fill="F7F4FB"/>
          </w:tcPr>
          <w:p>
            <w:pPr>
              <w:spacing w:after="20"/>
            </w:pPr>
            <w:r/>
            <w:r>
              <w:rPr>
                <w:sz w:val="15"/>
              </w:rPr>
              <w:t>Hallucination / confabulation</w:t>
            </w:r>
          </w:p>
        </w:tc>
        <w:tc>
          <w:tcPr>
            <w:tcW w:type="dxa" w:w="4989"/>
            <w:shd w:val="clear" w:color="auto" w:fill="F7F4FB"/>
          </w:tcPr>
          <w:p>
            <w:pPr>
              <w:spacing w:after="20"/>
            </w:pPr>
            <w:r/>
            <w:r>
              <w:rPr>
                <w:sz w:val="15"/>
              </w:rPr>
              <w:t>Generative AI produces plausible but false content (facts, citations, calculations).</w:t>
            </w:r>
          </w:p>
        </w:tc>
        <w:tc>
          <w:tcPr>
            <w:tcW w:type="dxa" w:w="1531"/>
            <w:shd w:val="clear" w:color="auto" w:fill="F7F4FB"/>
          </w:tcPr>
          <w:p>
            <w:pPr>
              <w:spacing w:after="20"/>
            </w:pPr>
            <w:r/>
            <w:r>
              <w:rPr>
                <w:sz w:val="15"/>
              </w:rPr>
              <w:t>LC-7</w:t>
            </w:r>
          </w:p>
        </w:tc>
      </w:tr>
      <w:tr>
        <w:tc>
          <w:tcPr>
            <w:tcW w:type="dxa" w:w="850"/>
          </w:tcPr>
          <w:p>
            <w:pPr>
              <w:spacing w:after="20"/>
            </w:pPr>
            <w:r/>
            <w:r>
              <w:rPr>
                <w:b/>
                <w:sz w:val="15"/>
              </w:rPr>
              <w:t>PER-03</w:t>
            </w:r>
          </w:p>
        </w:tc>
        <w:tc>
          <w:tcPr>
            <w:tcW w:type="dxa" w:w="2268"/>
          </w:tcPr>
          <w:p>
            <w:pPr>
              <w:spacing w:after="20"/>
            </w:pPr>
            <w:r/>
            <w:r>
              <w:rPr>
                <w:sz w:val="15"/>
              </w:rPr>
              <w:t>Lack of robustness to edge cases</w:t>
            </w:r>
          </w:p>
        </w:tc>
        <w:tc>
          <w:tcPr>
            <w:tcW w:type="dxa" w:w="4989"/>
          </w:tcPr>
          <w:p>
            <w:pPr>
              <w:spacing w:after="20"/>
            </w:pPr>
            <w:r/>
            <w:r>
              <w:rPr>
                <w:sz w:val="15"/>
              </w:rPr>
              <w:t>Performance collapses on unusual inputs, adversarial perturbations or out-of-distribution data.</w:t>
            </w:r>
          </w:p>
        </w:tc>
        <w:tc>
          <w:tcPr>
            <w:tcW w:type="dxa" w:w="1531"/>
          </w:tcPr>
          <w:p>
            <w:pPr>
              <w:spacing w:after="20"/>
            </w:pPr>
            <w:r/>
            <w:r>
              <w:rPr>
                <w:sz w:val="15"/>
              </w:rPr>
              <w:t>RS-3, AA-3</w:t>
            </w:r>
          </w:p>
        </w:tc>
      </w:tr>
      <w:tr>
        <w:tc>
          <w:tcPr>
            <w:tcW w:type="dxa" w:w="850"/>
            <w:shd w:val="clear" w:color="auto" w:fill="F7F4FB"/>
          </w:tcPr>
          <w:p>
            <w:pPr>
              <w:spacing w:after="20"/>
            </w:pPr>
            <w:r/>
            <w:r>
              <w:rPr>
                <w:b/>
                <w:sz w:val="15"/>
              </w:rPr>
              <w:t>PER-04</w:t>
            </w:r>
          </w:p>
        </w:tc>
        <w:tc>
          <w:tcPr>
            <w:tcW w:type="dxa" w:w="2268"/>
            <w:shd w:val="clear" w:color="auto" w:fill="F7F4FB"/>
          </w:tcPr>
          <w:p>
            <w:pPr>
              <w:spacing w:after="20"/>
            </w:pPr>
            <w:r/>
            <w:r>
              <w:rPr>
                <w:sz w:val="15"/>
              </w:rPr>
              <w:t>Uncontrolled model or provider changes</w:t>
            </w:r>
          </w:p>
        </w:tc>
        <w:tc>
          <w:tcPr>
            <w:tcW w:type="dxa" w:w="4989"/>
            <w:shd w:val="clear" w:color="auto" w:fill="F7F4FB"/>
          </w:tcPr>
          <w:p>
            <w:pPr>
              <w:spacing w:after="20"/>
            </w:pPr>
            <w:r/>
            <w:r>
              <w:rPr>
                <w:sz w:val="15"/>
              </w:rPr>
              <w:t>Provider updates foundation model or system is changed without re-validation, altering behaviour.</w:t>
            </w:r>
          </w:p>
        </w:tc>
        <w:tc>
          <w:tcPr>
            <w:tcW w:type="dxa" w:w="1531"/>
            <w:shd w:val="clear" w:color="auto" w:fill="F7F4FB"/>
          </w:tcPr>
          <w:p>
            <w:pPr>
              <w:spacing w:after="20"/>
            </w:pPr>
            <w:r/>
            <w:r>
              <w:rPr>
                <w:sz w:val="15"/>
              </w:rPr>
              <w:t>LC-5, LC-6</w:t>
            </w:r>
          </w:p>
        </w:tc>
      </w:tr>
      <w:tr>
        <w:tc>
          <w:tcPr>
            <w:tcW w:type="dxa" w:w="850"/>
          </w:tcPr>
          <w:p>
            <w:pPr>
              <w:spacing w:after="20"/>
            </w:pPr>
            <w:r/>
            <w:r>
              <w:rPr>
                <w:b/>
                <w:sz w:val="15"/>
              </w:rPr>
              <w:t>PER-05</w:t>
            </w:r>
          </w:p>
        </w:tc>
        <w:tc>
          <w:tcPr>
            <w:tcW w:type="dxa" w:w="2268"/>
          </w:tcPr>
          <w:p>
            <w:pPr>
              <w:spacing w:after="20"/>
            </w:pPr>
            <w:r/>
            <w:r>
              <w:rPr>
                <w:sz w:val="15"/>
              </w:rPr>
              <w:t>Uncontrolled prompt / configuration changes</w:t>
            </w:r>
          </w:p>
        </w:tc>
        <w:tc>
          <w:tcPr>
            <w:tcW w:type="dxa" w:w="4989"/>
          </w:tcPr>
          <w:p>
            <w:pPr>
              <w:spacing w:after="20"/>
            </w:pPr>
            <w:r/>
            <w:r>
              <w:rPr>
                <w:sz w:val="15"/>
              </w:rPr>
              <w:t>Changes to prompts, guardrails, tool permissions or retrieval sources degrade safety or behaviour without regression testing.</w:t>
            </w:r>
          </w:p>
        </w:tc>
        <w:tc>
          <w:tcPr>
            <w:tcW w:type="dxa" w:w="1531"/>
          </w:tcPr>
          <w:p>
            <w:pPr>
              <w:spacing w:after="20"/>
            </w:pPr>
            <w:r/>
            <w:r>
              <w:rPr>
                <w:sz w:val="15"/>
              </w:rPr>
              <w:t>LC-12</w:t>
            </w:r>
          </w:p>
        </w:tc>
      </w:tr>
    </w:tbl>
    <w:p>
      <w:pPr>
        <w:spacing w:after="40"/>
      </w:pPr>
    </w:p>
    <w:p>
      <w:pPr>
        <w:pStyle w:val="Heading3"/>
      </w:pPr>
      <w:r>
        <w:t>7.7 Transparency, Explainability &amp; Contestability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TRA-01</w:t>
            </w:r>
          </w:p>
        </w:tc>
        <w:tc>
          <w:tcPr>
            <w:tcW w:type="dxa" w:w="2268"/>
          </w:tcPr>
          <w:p>
            <w:pPr>
              <w:spacing w:after="20"/>
            </w:pPr>
            <w:r/>
            <w:r>
              <w:rPr>
                <w:sz w:val="15"/>
              </w:rPr>
              <w:t>Undisclosed AI interaction or content</w:t>
            </w:r>
          </w:p>
        </w:tc>
        <w:tc>
          <w:tcPr>
            <w:tcW w:type="dxa" w:w="4989"/>
          </w:tcPr>
          <w:p>
            <w:pPr>
              <w:spacing w:after="20"/>
            </w:pPr>
            <w:r/>
            <w:r>
              <w:rPr>
                <w:sz w:val="15"/>
              </w:rPr>
              <w:t>Users are unaware they interact with AI or that content is AI-generated.</w:t>
            </w:r>
          </w:p>
        </w:tc>
        <w:tc>
          <w:tcPr>
            <w:tcW w:type="dxa" w:w="1531"/>
          </w:tcPr>
          <w:p>
            <w:pPr>
              <w:spacing w:after="20"/>
            </w:pPr>
            <w:r/>
            <w:r>
              <w:rPr>
                <w:sz w:val="15"/>
              </w:rPr>
              <w:t>CO-1, LC-7</w:t>
            </w:r>
          </w:p>
        </w:tc>
      </w:tr>
      <w:tr>
        <w:tc>
          <w:tcPr>
            <w:tcW w:type="dxa" w:w="850"/>
            <w:shd w:val="clear" w:color="auto" w:fill="F7F4FB"/>
          </w:tcPr>
          <w:p>
            <w:pPr>
              <w:spacing w:after="20"/>
            </w:pPr>
            <w:r/>
            <w:r>
              <w:rPr>
                <w:b/>
                <w:sz w:val="15"/>
              </w:rPr>
              <w:t>TRA-02</w:t>
            </w:r>
          </w:p>
        </w:tc>
        <w:tc>
          <w:tcPr>
            <w:tcW w:type="dxa" w:w="2268"/>
            <w:shd w:val="clear" w:color="auto" w:fill="F7F4FB"/>
          </w:tcPr>
          <w:p>
            <w:pPr>
              <w:spacing w:after="20"/>
            </w:pPr>
            <w:r/>
            <w:r>
              <w:rPr>
                <w:sz w:val="15"/>
              </w:rPr>
              <w:t>Unexplainable decisions</w:t>
            </w:r>
          </w:p>
        </w:tc>
        <w:tc>
          <w:tcPr>
            <w:tcW w:type="dxa" w:w="4989"/>
            <w:shd w:val="clear" w:color="auto" w:fill="F7F4FB"/>
          </w:tcPr>
          <w:p>
            <w:pPr>
              <w:spacing w:after="20"/>
            </w:pPr>
            <w:r/>
            <w:r>
              <w:rPr>
                <w:sz w:val="15"/>
              </w:rPr>
              <w:t>Organisation cannot explain AI-supported decisions to affected persons, regulators or auditors.</w:t>
            </w:r>
          </w:p>
        </w:tc>
        <w:tc>
          <w:tcPr>
            <w:tcW w:type="dxa" w:w="1531"/>
            <w:shd w:val="clear" w:color="auto" w:fill="F7F4FB"/>
          </w:tcPr>
          <w:p>
            <w:pPr>
              <w:spacing w:after="20"/>
            </w:pPr>
            <w:r/>
            <w:r>
              <w:rPr>
                <w:sz w:val="15"/>
              </w:rPr>
              <w:t>RS-4, LC-4</w:t>
            </w:r>
          </w:p>
        </w:tc>
      </w:tr>
      <w:tr>
        <w:tc>
          <w:tcPr>
            <w:tcW w:type="dxa" w:w="850"/>
          </w:tcPr>
          <w:p>
            <w:pPr>
              <w:spacing w:after="20"/>
            </w:pPr>
            <w:r/>
            <w:r>
              <w:rPr>
                <w:b/>
                <w:sz w:val="15"/>
              </w:rPr>
              <w:t>TRA-03</w:t>
            </w:r>
          </w:p>
        </w:tc>
        <w:tc>
          <w:tcPr>
            <w:tcW w:type="dxa" w:w="2268"/>
          </w:tcPr>
          <w:p>
            <w:pPr>
              <w:spacing w:after="20"/>
            </w:pPr>
            <w:r/>
            <w:r>
              <w:rPr>
                <w:sz w:val="15"/>
              </w:rPr>
              <w:t>No effective contest or redress route</w:t>
            </w:r>
          </w:p>
        </w:tc>
        <w:tc>
          <w:tcPr>
            <w:tcW w:type="dxa" w:w="4989"/>
          </w:tcPr>
          <w:p>
            <w:pPr>
              <w:spacing w:after="20"/>
            </w:pPr>
            <w:r/>
            <w:r>
              <w:rPr>
                <w:sz w:val="15"/>
              </w:rPr>
              <w:t>Affected persons cannot challenge or obtain human review of AI-supported decisions.</w:t>
            </w:r>
          </w:p>
        </w:tc>
        <w:tc>
          <w:tcPr>
            <w:tcW w:type="dxa" w:w="1531"/>
          </w:tcPr>
          <w:p>
            <w:pPr>
              <w:spacing w:after="20"/>
            </w:pPr>
            <w:r/>
            <w:r>
              <w:rPr>
                <w:sz w:val="15"/>
              </w:rPr>
              <w:t>CO-3, PR-5</w:t>
            </w:r>
          </w:p>
        </w:tc>
      </w:tr>
      <w:tr>
        <w:tc>
          <w:tcPr>
            <w:tcW w:type="dxa" w:w="850"/>
            <w:shd w:val="clear" w:color="auto" w:fill="F7F4FB"/>
          </w:tcPr>
          <w:p>
            <w:pPr>
              <w:spacing w:after="20"/>
            </w:pPr>
            <w:r/>
            <w:r>
              <w:rPr>
                <w:b/>
                <w:sz w:val="15"/>
              </w:rPr>
              <w:t>TRA-04</w:t>
            </w:r>
          </w:p>
        </w:tc>
        <w:tc>
          <w:tcPr>
            <w:tcW w:type="dxa" w:w="2268"/>
            <w:shd w:val="clear" w:color="auto" w:fill="F7F4FB"/>
          </w:tcPr>
          <w:p>
            <w:pPr>
              <w:spacing w:after="20"/>
            </w:pPr>
            <w:r/>
            <w:r>
              <w:rPr>
                <w:sz w:val="15"/>
              </w:rPr>
              <w:t>Inadequate documentation and records</w:t>
            </w:r>
          </w:p>
        </w:tc>
        <w:tc>
          <w:tcPr>
            <w:tcW w:type="dxa" w:w="4989"/>
            <w:shd w:val="clear" w:color="auto" w:fill="F7F4FB"/>
          </w:tcPr>
          <w:p>
            <w:pPr>
              <w:spacing w:after="20"/>
            </w:pPr>
            <w:r/>
            <w:r>
              <w:rPr>
                <w:sz w:val="15"/>
              </w:rPr>
              <w:t>Technical documentation, logs or decisions are insufficient for audit or regulatory inspection.</w:t>
            </w:r>
          </w:p>
        </w:tc>
        <w:tc>
          <w:tcPr>
            <w:tcW w:type="dxa" w:w="1531"/>
            <w:shd w:val="clear" w:color="auto" w:fill="F7F4FB"/>
          </w:tcPr>
          <w:p>
            <w:pPr>
              <w:spacing w:after="20"/>
            </w:pPr>
            <w:r/>
            <w:r>
              <w:rPr>
                <w:sz w:val="15"/>
              </w:rPr>
              <w:t>LC-4, OM-2, RO-3</w:t>
            </w:r>
          </w:p>
        </w:tc>
      </w:tr>
    </w:tbl>
    <w:p>
      <w:pPr>
        <w:spacing w:after="40"/>
      </w:pPr>
    </w:p>
    <w:p>
      <w:pPr>
        <w:pStyle w:val="Heading3"/>
      </w:pPr>
      <w:r>
        <w:t>7.8 Security of AI Systems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SEC-01</w:t>
            </w:r>
          </w:p>
        </w:tc>
        <w:tc>
          <w:tcPr>
            <w:tcW w:type="dxa" w:w="2268"/>
          </w:tcPr>
          <w:p>
            <w:pPr>
              <w:spacing w:after="20"/>
            </w:pPr>
            <w:r/>
            <w:r>
              <w:rPr>
                <w:sz w:val="15"/>
              </w:rPr>
              <w:t>Prompt injection and jailbreak</w:t>
            </w:r>
          </w:p>
        </w:tc>
        <w:tc>
          <w:tcPr>
            <w:tcW w:type="dxa" w:w="4989"/>
          </w:tcPr>
          <w:p>
            <w:pPr>
              <w:spacing w:after="20"/>
            </w:pPr>
            <w:r/>
            <w:r>
              <w:rPr>
                <w:sz w:val="15"/>
              </w:rPr>
              <w:t>Attacker manipulates model behaviour via direct or indirect (embedded content) instructions.</w:t>
            </w:r>
          </w:p>
        </w:tc>
        <w:tc>
          <w:tcPr>
            <w:tcW w:type="dxa" w:w="1531"/>
          </w:tcPr>
          <w:p>
            <w:pPr>
              <w:spacing w:after="20"/>
            </w:pPr>
            <w:r/>
            <w:r>
              <w:rPr>
                <w:sz w:val="15"/>
              </w:rPr>
              <w:t>SE-6</w:t>
            </w:r>
          </w:p>
        </w:tc>
      </w:tr>
      <w:tr>
        <w:tc>
          <w:tcPr>
            <w:tcW w:type="dxa" w:w="850"/>
            <w:shd w:val="clear" w:color="auto" w:fill="F7F4FB"/>
          </w:tcPr>
          <w:p>
            <w:pPr>
              <w:spacing w:after="20"/>
            </w:pPr>
            <w:r/>
            <w:r>
              <w:rPr>
                <w:b/>
                <w:sz w:val="15"/>
              </w:rPr>
              <w:t>SEC-02</w:t>
            </w:r>
          </w:p>
        </w:tc>
        <w:tc>
          <w:tcPr>
            <w:tcW w:type="dxa" w:w="2268"/>
            <w:shd w:val="clear" w:color="auto" w:fill="F7F4FB"/>
          </w:tcPr>
          <w:p>
            <w:pPr>
              <w:spacing w:after="20"/>
            </w:pPr>
            <w:r/>
            <w:r>
              <w:rPr>
                <w:sz w:val="15"/>
              </w:rPr>
              <w:t>Data or model poisoning</w:t>
            </w:r>
          </w:p>
        </w:tc>
        <w:tc>
          <w:tcPr>
            <w:tcW w:type="dxa" w:w="4989"/>
            <w:shd w:val="clear" w:color="auto" w:fill="F7F4FB"/>
          </w:tcPr>
          <w:p>
            <w:pPr>
              <w:spacing w:after="20"/>
            </w:pPr>
            <w:r/>
            <w:r>
              <w:rPr>
                <w:sz w:val="15"/>
              </w:rPr>
              <w:t>Training, fine-tuning or retrieval data is manipulated to corrupt outputs or insert backdoors.</w:t>
            </w:r>
          </w:p>
        </w:tc>
        <w:tc>
          <w:tcPr>
            <w:tcW w:type="dxa" w:w="1531"/>
            <w:shd w:val="clear" w:color="auto" w:fill="F7F4FB"/>
          </w:tcPr>
          <w:p>
            <w:pPr>
              <w:spacing w:after="20"/>
            </w:pPr>
            <w:r/>
            <w:r>
              <w:rPr>
                <w:sz w:val="15"/>
              </w:rPr>
              <w:t>SE-6, LC-1, SE-7</w:t>
            </w:r>
          </w:p>
        </w:tc>
      </w:tr>
      <w:tr>
        <w:tc>
          <w:tcPr>
            <w:tcW w:type="dxa" w:w="850"/>
          </w:tcPr>
          <w:p>
            <w:pPr>
              <w:spacing w:after="20"/>
            </w:pPr>
            <w:r/>
            <w:r>
              <w:rPr>
                <w:b/>
                <w:sz w:val="15"/>
              </w:rPr>
              <w:t>SEC-03</w:t>
            </w:r>
          </w:p>
        </w:tc>
        <w:tc>
          <w:tcPr>
            <w:tcW w:type="dxa" w:w="2268"/>
          </w:tcPr>
          <w:p>
            <w:pPr>
              <w:spacing w:after="20"/>
            </w:pPr>
            <w:r/>
            <w:r>
              <w:rPr>
                <w:sz w:val="15"/>
              </w:rPr>
              <w:t>Model theft, extraction or inversion</w:t>
            </w:r>
          </w:p>
        </w:tc>
        <w:tc>
          <w:tcPr>
            <w:tcW w:type="dxa" w:w="4989"/>
          </w:tcPr>
          <w:p>
            <w:pPr>
              <w:spacing w:after="20"/>
            </w:pPr>
            <w:r/>
            <w:r>
              <w:rPr>
                <w:sz w:val="15"/>
              </w:rPr>
              <w:t>Model weights, system prompts or training data are extracted.</w:t>
            </w:r>
          </w:p>
        </w:tc>
        <w:tc>
          <w:tcPr>
            <w:tcW w:type="dxa" w:w="1531"/>
          </w:tcPr>
          <w:p>
            <w:pPr>
              <w:spacing w:after="20"/>
            </w:pPr>
            <w:r/>
            <w:r>
              <w:rPr>
                <w:sz w:val="15"/>
              </w:rPr>
              <w:t>SE-4, SE-6</w:t>
            </w:r>
          </w:p>
        </w:tc>
      </w:tr>
      <w:tr>
        <w:tc>
          <w:tcPr>
            <w:tcW w:type="dxa" w:w="850"/>
            <w:shd w:val="clear" w:color="auto" w:fill="F7F4FB"/>
          </w:tcPr>
          <w:p>
            <w:pPr>
              <w:spacing w:after="20"/>
            </w:pPr>
            <w:r/>
            <w:r>
              <w:rPr>
                <w:b/>
                <w:sz w:val="15"/>
              </w:rPr>
              <w:t>SEC-04</w:t>
            </w:r>
          </w:p>
        </w:tc>
        <w:tc>
          <w:tcPr>
            <w:tcW w:type="dxa" w:w="2268"/>
            <w:shd w:val="clear" w:color="auto" w:fill="F7F4FB"/>
          </w:tcPr>
          <w:p>
            <w:pPr>
              <w:spacing w:after="20"/>
            </w:pPr>
            <w:r/>
            <w:r>
              <w:rPr>
                <w:sz w:val="15"/>
              </w:rPr>
              <w:t>Insecure integration and excessive privilege</w:t>
            </w:r>
          </w:p>
        </w:tc>
        <w:tc>
          <w:tcPr>
            <w:tcW w:type="dxa" w:w="4989"/>
            <w:shd w:val="clear" w:color="auto" w:fill="F7F4FB"/>
          </w:tcPr>
          <w:p>
            <w:pPr>
              <w:spacing w:after="20"/>
            </w:pPr>
            <w:r/>
            <w:r>
              <w:rPr>
                <w:sz w:val="15"/>
              </w:rPr>
              <w:t>AI components have excessive permissions or insecure APIs/plugins, enabling unauthorised actions.</w:t>
            </w:r>
          </w:p>
        </w:tc>
        <w:tc>
          <w:tcPr>
            <w:tcW w:type="dxa" w:w="1531"/>
            <w:shd w:val="clear" w:color="auto" w:fill="F7F4FB"/>
          </w:tcPr>
          <w:p>
            <w:pPr>
              <w:spacing w:after="20"/>
            </w:pPr>
            <w:r/>
            <w:r>
              <w:rPr>
                <w:sz w:val="15"/>
              </w:rPr>
              <w:t>SE-2, LC-8</w:t>
            </w:r>
          </w:p>
        </w:tc>
      </w:tr>
      <w:tr>
        <w:tc>
          <w:tcPr>
            <w:tcW w:type="dxa" w:w="850"/>
          </w:tcPr>
          <w:p>
            <w:pPr>
              <w:spacing w:after="20"/>
            </w:pPr>
            <w:r/>
            <w:r>
              <w:rPr>
                <w:b/>
                <w:sz w:val="15"/>
              </w:rPr>
              <w:t>SEC-06</w:t>
            </w:r>
          </w:p>
        </w:tc>
        <w:tc>
          <w:tcPr>
            <w:tcW w:type="dxa" w:w="2268"/>
          </w:tcPr>
          <w:p>
            <w:pPr>
              <w:spacing w:after="20"/>
            </w:pPr>
            <w:r/>
            <w:r>
              <w:rPr>
                <w:sz w:val="15"/>
              </w:rPr>
              <w:t>Agent memory poisoning &amp; cross-session leakage</w:t>
            </w:r>
          </w:p>
        </w:tc>
        <w:tc>
          <w:tcPr>
            <w:tcW w:type="dxa" w:w="4989"/>
          </w:tcPr>
          <w:p>
            <w:pPr>
              <w:spacing w:after="20"/>
            </w:pPr>
            <w:r/>
            <w:r>
              <w:rPr>
                <w:sz w:val="15"/>
              </w:rPr>
              <w:t>Poisoned or unauthorised content persists in agent memory / vector stores, or context leaks across users, sessions or tenants.</w:t>
            </w:r>
          </w:p>
        </w:tc>
        <w:tc>
          <w:tcPr>
            <w:tcW w:type="dxa" w:w="1531"/>
          </w:tcPr>
          <w:p>
            <w:pPr>
              <w:spacing w:after="20"/>
            </w:pPr>
            <w:r/>
            <w:r>
              <w:rPr>
                <w:sz w:val="15"/>
              </w:rPr>
              <w:t>SE-8</w:t>
            </w:r>
          </w:p>
        </w:tc>
      </w:tr>
      <w:tr>
        <w:tc>
          <w:tcPr>
            <w:tcW w:type="dxa" w:w="850"/>
            <w:shd w:val="clear" w:color="auto" w:fill="F7F4FB"/>
          </w:tcPr>
          <w:p>
            <w:pPr>
              <w:spacing w:after="20"/>
            </w:pPr>
            <w:r/>
            <w:r>
              <w:rPr>
                <w:b/>
                <w:sz w:val="15"/>
              </w:rPr>
              <w:t>SEC-07</w:t>
            </w:r>
          </w:p>
        </w:tc>
        <w:tc>
          <w:tcPr>
            <w:tcW w:type="dxa" w:w="2268"/>
            <w:shd w:val="clear" w:color="auto" w:fill="F7F4FB"/>
          </w:tcPr>
          <w:p>
            <w:pPr>
              <w:spacing w:after="20"/>
            </w:pPr>
            <w:r/>
            <w:r>
              <w:rPr>
                <w:sz w:val="15"/>
              </w:rPr>
              <w:t>Unsafe code execution, SSRF &amp; sandbox escape</w:t>
            </w:r>
          </w:p>
        </w:tc>
        <w:tc>
          <w:tcPr>
            <w:tcW w:type="dxa" w:w="4989"/>
            <w:shd w:val="clear" w:color="auto" w:fill="F7F4FB"/>
          </w:tcPr>
          <w:p>
            <w:pPr>
              <w:spacing w:after="20"/>
            </w:pPr>
            <w:r/>
            <w:r>
              <w:rPr>
                <w:sz w:val="15"/>
              </w:rPr>
              <w:t>Agent-generated code or tool calls reach internal networks, cloud metadata services or production secrets.</w:t>
            </w:r>
          </w:p>
        </w:tc>
        <w:tc>
          <w:tcPr>
            <w:tcW w:type="dxa" w:w="1531"/>
            <w:shd w:val="clear" w:color="auto" w:fill="F7F4FB"/>
          </w:tcPr>
          <w:p>
            <w:pPr>
              <w:spacing w:after="20"/>
            </w:pPr>
            <w:r/>
            <w:r>
              <w:rPr>
                <w:sz w:val="15"/>
              </w:rPr>
              <w:t>SE-9, SE-10</w:t>
            </w:r>
          </w:p>
        </w:tc>
      </w:tr>
      <w:tr>
        <w:tc>
          <w:tcPr>
            <w:tcW w:type="dxa" w:w="850"/>
          </w:tcPr>
          <w:p>
            <w:pPr>
              <w:spacing w:after="20"/>
            </w:pPr>
            <w:r/>
            <w:r>
              <w:rPr>
                <w:b/>
                <w:sz w:val="15"/>
              </w:rPr>
              <w:t>SEC-05</w:t>
            </w:r>
          </w:p>
        </w:tc>
        <w:tc>
          <w:tcPr>
            <w:tcW w:type="dxa" w:w="2268"/>
          </w:tcPr>
          <w:p>
            <w:pPr>
              <w:spacing w:after="20"/>
            </w:pPr>
            <w:r/>
            <w:r>
              <w:rPr>
                <w:sz w:val="15"/>
              </w:rPr>
              <w:t>Compromised AI supply chain</w:t>
            </w:r>
          </w:p>
        </w:tc>
        <w:tc>
          <w:tcPr>
            <w:tcW w:type="dxa" w:w="4989"/>
          </w:tcPr>
          <w:p>
            <w:pPr>
              <w:spacing w:after="20"/>
            </w:pPr>
            <w:r/>
            <w:r>
              <w:rPr>
                <w:sz w:val="15"/>
              </w:rPr>
              <w:t>Malicious or vulnerable third-party models, libraries, plugins or MCP servers.</w:t>
            </w:r>
          </w:p>
        </w:tc>
        <w:tc>
          <w:tcPr>
            <w:tcW w:type="dxa" w:w="1531"/>
          </w:tcPr>
          <w:p>
            <w:pPr>
              <w:spacing w:after="20"/>
            </w:pPr>
            <w:r/>
            <w:r>
              <w:rPr>
                <w:sz w:val="15"/>
              </w:rPr>
              <w:t>SE-7</w:t>
            </w:r>
          </w:p>
        </w:tc>
      </w:tr>
    </w:tbl>
    <w:p>
      <w:pPr>
        <w:spacing w:after="40"/>
      </w:pPr>
    </w:p>
    <w:p>
      <w:pPr>
        <w:pStyle w:val="Heading3"/>
      </w:pPr>
      <w:r>
        <w:t>7.9 Human Oversight &amp; Autonomy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HUM-01</w:t>
            </w:r>
          </w:p>
        </w:tc>
        <w:tc>
          <w:tcPr>
            <w:tcW w:type="dxa" w:w="2268"/>
          </w:tcPr>
          <w:p>
            <w:pPr>
              <w:spacing w:after="20"/>
            </w:pPr>
            <w:r/>
            <w:r>
              <w:rPr>
                <w:sz w:val="15"/>
              </w:rPr>
              <w:t>Automation bias and over-reliance</w:t>
            </w:r>
          </w:p>
        </w:tc>
        <w:tc>
          <w:tcPr>
            <w:tcW w:type="dxa" w:w="4989"/>
          </w:tcPr>
          <w:p>
            <w:pPr>
              <w:spacing w:after="20"/>
            </w:pPr>
            <w:r/>
            <w:r>
              <w:rPr>
                <w:sz w:val="15"/>
              </w:rPr>
              <w:t>Users accept AI outputs without adequate scrutiny, eroding professional judgement.</w:t>
            </w:r>
          </w:p>
        </w:tc>
        <w:tc>
          <w:tcPr>
            <w:tcW w:type="dxa" w:w="1531"/>
          </w:tcPr>
          <w:p>
            <w:pPr>
              <w:spacing w:after="20"/>
            </w:pPr>
            <w:r/>
            <w:r>
              <w:rPr>
                <w:sz w:val="15"/>
              </w:rPr>
              <w:t>RS-1, GL-4, LC-7</w:t>
            </w:r>
          </w:p>
        </w:tc>
      </w:tr>
      <w:tr>
        <w:tc>
          <w:tcPr>
            <w:tcW w:type="dxa" w:w="850"/>
            <w:shd w:val="clear" w:color="auto" w:fill="F7F4FB"/>
          </w:tcPr>
          <w:p>
            <w:pPr>
              <w:spacing w:after="20"/>
            </w:pPr>
            <w:r/>
            <w:r>
              <w:rPr>
                <w:b/>
                <w:sz w:val="15"/>
              </w:rPr>
              <w:t>HUM-02</w:t>
            </w:r>
          </w:p>
        </w:tc>
        <w:tc>
          <w:tcPr>
            <w:tcW w:type="dxa" w:w="2268"/>
            <w:shd w:val="clear" w:color="auto" w:fill="F7F4FB"/>
          </w:tcPr>
          <w:p>
            <w:pPr>
              <w:spacing w:after="20"/>
            </w:pPr>
            <w:r/>
            <w:r>
              <w:rPr>
                <w:sz w:val="15"/>
              </w:rPr>
              <w:t>Ineffective human oversight</w:t>
            </w:r>
          </w:p>
        </w:tc>
        <w:tc>
          <w:tcPr>
            <w:tcW w:type="dxa" w:w="4989"/>
            <w:shd w:val="clear" w:color="auto" w:fill="F7F4FB"/>
          </w:tcPr>
          <w:p>
            <w:pPr>
              <w:spacing w:after="20"/>
            </w:pPr>
            <w:r/>
            <w:r>
              <w:rPr>
                <w:sz w:val="15"/>
              </w:rPr>
              <w:t>Oversight persons lack competence, authority, time or information to intervene.</w:t>
            </w:r>
          </w:p>
        </w:tc>
        <w:tc>
          <w:tcPr>
            <w:tcW w:type="dxa" w:w="1531"/>
            <w:shd w:val="clear" w:color="auto" w:fill="F7F4FB"/>
          </w:tcPr>
          <w:p>
            <w:pPr>
              <w:spacing w:after="20"/>
            </w:pPr>
            <w:r/>
            <w:r>
              <w:rPr>
                <w:sz w:val="15"/>
              </w:rPr>
              <w:t>RS-1, GL-4</w:t>
            </w:r>
          </w:p>
        </w:tc>
      </w:tr>
      <w:tr>
        <w:tc>
          <w:tcPr>
            <w:tcW w:type="dxa" w:w="850"/>
          </w:tcPr>
          <w:p>
            <w:pPr>
              <w:spacing w:after="20"/>
            </w:pPr>
            <w:r/>
            <w:r>
              <w:rPr>
                <w:b/>
                <w:sz w:val="15"/>
              </w:rPr>
              <w:t>HUM-03</w:t>
            </w:r>
          </w:p>
        </w:tc>
        <w:tc>
          <w:tcPr>
            <w:tcW w:type="dxa" w:w="2268"/>
          </w:tcPr>
          <w:p>
            <w:pPr>
              <w:spacing w:after="20"/>
            </w:pPr>
            <w:r/>
            <w:r>
              <w:rPr>
                <w:sz w:val="15"/>
              </w:rPr>
              <w:t>Unbounded autonomous agent actions</w:t>
            </w:r>
          </w:p>
        </w:tc>
        <w:tc>
          <w:tcPr>
            <w:tcW w:type="dxa" w:w="4989"/>
          </w:tcPr>
          <w:p>
            <w:pPr>
              <w:spacing w:after="20"/>
            </w:pPr>
            <w:r/>
            <w:r>
              <w:rPr>
                <w:sz w:val="15"/>
              </w:rPr>
              <w:t>AI agents take high-impact actions (payments, communications, code execution) without adequate limits or approval.</w:t>
            </w:r>
          </w:p>
        </w:tc>
        <w:tc>
          <w:tcPr>
            <w:tcW w:type="dxa" w:w="1531"/>
          </w:tcPr>
          <w:p>
            <w:pPr>
              <w:spacing w:after="20"/>
            </w:pPr>
            <w:r/>
            <w:r>
              <w:rPr>
                <w:sz w:val="15"/>
              </w:rPr>
              <w:t>LC-8</w:t>
            </w:r>
          </w:p>
        </w:tc>
      </w:tr>
      <w:tr>
        <w:tc>
          <w:tcPr>
            <w:tcW w:type="dxa" w:w="850"/>
            <w:shd w:val="clear" w:color="auto" w:fill="F7F4FB"/>
          </w:tcPr>
          <w:p>
            <w:pPr>
              <w:spacing w:after="20"/>
            </w:pPr>
            <w:r/>
            <w:r>
              <w:rPr>
                <w:b/>
                <w:sz w:val="15"/>
              </w:rPr>
              <w:t>HUM-04</w:t>
            </w:r>
          </w:p>
        </w:tc>
        <w:tc>
          <w:tcPr>
            <w:tcW w:type="dxa" w:w="2268"/>
            <w:shd w:val="clear" w:color="auto" w:fill="F7F4FB"/>
          </w:tcPr>
          <w:p>
            <w:pPr>
              <w:spacing w:after="20"/>
            </w:pPr>
            <w:r/>
            <w:r>
              <w:rPr>
                <w:sz w:val="15"/>
              </w:rPr>
              <w:t>Adverse workforce impact</w:t>
            </w:r>
          </w:p>
        </w:tc>
        <w:tc>
          <w:tcPr>
            <w:tcW w:type="dxa" w:w="4989"/>
            <w:shd w:val="clear" w:color="auto" w:fill="F7F4FB"/>
          </w:tcPr>
          <w:p>
            <w:pPr>
              <w:spacing w:after="20"/>
            </w:pPr>
            <w:r/>
            <w:r>
              <w:rPr>
                <w:sz w:val="15"/>
              </w:rPr>
              <w:t>AI adoption causes skills erosion, job anxiety or unconsulted changes to working conditions.</w:t>
            </w:r>
          </w:p>
        </w:tc>
        <w:tc>
          <w:tcPr>
            <w:tcW w:type="dxa" w:w="1531"/>
            <w:shd w:val="clear" w:color="auto" w:fill="F7F4FB"/>
          </w:tcPr>
          <w:p>
            <w:pPr>
              <w:spacing w:after="20"/>
            </w:pPr>
            <w:r/>
            <w:r>
              <w:rPr>
                <w:sz w:val="15"/>
              </w:rPr>
              <w:t>RS-9, GL-4</w:t>
            </w:r>
          </w:p>
        </w:tc>
      </w:tr>
    </w:tbl>
    <w:p>
      <w:pPr>
        <w:spacing w:after="40"/>
      </w:pPr>
    </w:p>
    <w:p>
      <w:pPr>
        <w:pStyle w:val="Heading3"/>
      </w:pPr>
      <w:r>
        <w:t>7.10 Third-Party &amp; Supply Chain</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TPR-01</w:t>
            </w:r>
          </w:p>
        </w:tc>
        <w:tc>
          <w:tcPr>
            <w:tcW w:type="dxa" w:w="2268"/>
          </w:tcPr>
          <w:p>
            <w:pPr>
              <w:spacing w:after="20"/>
            </w:pPr>
            <w:r/>
            <w:r>
              <w:rPr>
                <w:sz w:val="15"/>
              </w:rPr>
              <w:t>Vendor lock-in and concentration</w:t>
            </w:r>
          </w:p>
        </w:tc>
        <w:tc>
          <w:tcPr>
            <w:tcW w:type="dxa" w:w="4989"/>
          </w:tcPr>
          <w:p>
            <w:pPr>
              <w:spacing w:after="20"/>
            </w:pPr>
            <w:r/>
            <w:r>
              <w:rPr>
                <w:sz w:val="15"/>
              </w:rPr>
              <w:t>Critical dependence on a single AI provider or cloud creates resilience and bargaining risk.</w:t>
            </w:r>
          </w:p>
        </w:tc>
        <w:tc>
          <w:tcPr>
            <w:tcW w:type="dxa" w:w="1531"/>
          </w:tcPr>
          <w:p>
            <w:pPr>
              <w:spacing w:after="20"/>
            </w:pPr>
            <w:r/>
            <w:r>
              <w:rPr>
                <w:sz w:val="15"/>
              </w:rPr>
              <w:t>TP-2, TP-3</w:t>
            </w:r>
          </w:p>
        </w:tc>
      </w:tr>
      <w:tr>
        <w:tc>
          <w:tcPr>
            <w:tcW w:type="dxa" w:w="850"/>
            <w:shd w:val="clear" w:color="auto" w:fill="F7F4FB"/>
          </w:tcPr>
          <w:p>
            <w:pPr>
              <w:spacing w:after="20"/>
            </w:pPr>
            <w:r/>
            <w:r>
              <w:rPr>
                <w:b/>
                <w:sz w:val="15"/>
              </w:rPr>
              <w:t>TPR-02</w:t>
            </w:r>
          </w:p>
        </w:tc>
        <w:tc>
          <w:tcPr>
            <w:tcW w:type="dxa" w:w="2268"/>
            <w:shd w:val="clear" w:color="auto" w:fill="F7F4FB"/>
          </w:tcPr>
          <w:p>
            <w:pPr>
              <w:spacing w:after="20"/>
            </w:pPr>
            <w:r/>
            <w:r>
              <w:rPr>
                <w:sz w:val="15"/>
              </w:rPr>
              <w:t>Inadequate vendor transparency and assurance</w:t>
            </w:r>
          </w:p>
        </w:tc>
        <w:tc>
          <w:tcPr>
            <w:tcW w:type="dxa" w:w="4989"/>
            <w:shd w:val="clear" w:color="auto" w:fill="F7F4FB"/>
          </w:tcPr>
          <w:p>
            <w:pPr>
              <w:spacing w:after="20"/>
            </w:pPr>
            <w:r/>
            <w:r>
              <w:rPr>
                <w:sz w:val="15"/>
              </w:rPr>
              <w:t>Vendor cannot provide documentation, testing evidence or incident information needed for compliance.</w:t>
            </w:r>
          </w:p>
        </w:tc>
        <w:tc>
          <w:tcPr>
            <w:tcW w:type="dxa" w:w="1531"/>
            <w:shd w:val="clear" w:color="auto" w:fill="F7F4FB"/>
          </w:tcPr>
          <w:p>
            <w:pPr>
              <w:spacing w:after="20"/>
            </w:pPr>
            <w:r/>
            <w:r>
              <w:rPr>
                <w:sz w:val="15"/>
              </w:rPr>
              <w:t>TP-1, TP-3, LC-6</w:t>
            </w:r>
          </w:p>
        </w:tc>
      </w:tr>
      <w:tr>
        <w:tc>
          <w:tcPr>
            <w:tcW w:type="dxa" w:w="850"/>
          </w:tcPr>
          <w:p>
            <w:pPr>
              <w:spacing w:after="20"/>
            </w:pPr>
            <w:r/>
            <w:r>
              <w:rPr>
                <w:b/>
                <w:sz w:val="15"/>
              </w:rPr>
              <w:t>TPR-03</w:t>
            </w:r>
          </w:p>
        </w:tc>
        <w:tc>
          <w:tcPr>
            <w:tcW w:type="dxa" w:w="2268"/>
          </w:tcPr>
          <w:p>
            <w:pPr>
              <w:spacing w:after="20"/>
            </w:pPr>
            <w:r/>
            <w:r>
              <w:rPr>
                <w:sz w:val="15"/>
              </w:rPr>
              <w:t>Vendor use of organisation data</w:t>
            </w:r>
          </w:p>
        </w:tc>
        <w:tc>
          <w:tcPr>
            <w:tcW w:type="dxa" w:w="4989"/>
          </w:tcPr>
          <w:p>
            <w:pPr>
              <w:spacing w:after="20"/>
            </w:pPr>
            <w:r/>
            <w:r>
              <w:rPr>
                <w:sz w:val="15"/>
              </w:rPr>
              <w:t>Provider uses prompts, outputs or client data to train models or retains data beyond agreed terms.</w:t>
            </w:r>
          </w:p>
        </w:tc>
        <w:tc>
          <w:tcPr>
            <w:tcW w:type="dxa" w:w="1531"/>
          </w:tcPr>
          <w:p>
            <w:pPr>
              <w:spacing w:after="20"/>
            </w:pPr>
            <w:r/>
            <w:r>
              <w:rPr>
                <w:sz w:val="15"/>
              </w:rPr>
              <w:t>TP-3, PR-6</w:t>
            </w:r>
          </w:p>
        </w:tc>
      </w:tr>
    </w:tbl>
    <w:p>
      <w:pPr>
        <w:spacing w:after="40"/>
      </w:pPr>
    </w:p>
    <w:p>
      <w:pPr>
        <w:pStyle w:val="Heading3"/>
      </w:pPr>
      <w:r>
        <w:t>7.11 Operational, Financial &amp; Sustainability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OPS-01</w:t>
            </w:r>
          </w:p>
        </w:tc>
        <w:tc>
          <w:tcPr>
            <w:tcW w:type="dxa" w:w="2268"/>
          </w:tcPr>
          <w:p>
            <w:pPr>
              <w:spacing w:after="20"/>
            </w:pPr>
            <w:r/>
            <w:r>
              <w:rPr>
                <w:sz w:val="15"/>
              </w:rPr>
              <w:t>AI service outage or degradation</w:t>
            </w:r>
          </w:p>
        </w:tc>
        <w:tc>
          <w:tcPr>
            <w:tcW w:type="dxa" w:w="4989"/>
          </w:tcPr>
          <w:p>
            <w:pPr>
              <w:spacing w:after="20"/>
            </w:pPr>
            <w:r/>
            <w:r>
              <w:rPr>
                <w:sz w:val="15"/>
              </w:rPr>
              <w:t>Business processes dependent on AI are disrupted by service unavailability or latency.</w:t>
            </w:r>
          </w:p>
        </w:tc>
        <w:tc>
          <w:tcPr>
            <w:tcW w:type="dxa" w:w="1531"/>
          </w:tcPr>
          <w:p>
            <w:pPr>
              <w:spacing w:after="20"/>
            </w:pPr>
            <w:r/>
            <w:r>
              <w:rPr>
                <w:sz w:val="15"/>
              </w:rPr>
              <w:t>OM-1, SE-1</w:t>
            </w:r>
          </w:p>
        </w:tc>
      </w:tr>
      <w:tr>
        <w:tc>
          <w:tcPr>
            <w:tcW w:type="dxa" w:w="850"/>
            <w:shd w:val="clear" w:color="auto" w:fill="F7F4FB"/>
          </w:tcPr>
          <w:p>
            <w:pPr>
              <w:spacing w:after="20"/>
            </w:pPr>
            <w:r/>
            <w:r>
              <w:rPr>
                <w:b/>
                <w:sz w:val="15"/>
              </w:rPr>
              <w:t>OPS-02</w:t>
            </w:r>
          </w:p>
        </w:tc>
        <w:tc>
          <w:tcPr>
            <w:tcW w:type="dxa" w:w="2268"/>
            <w:shd w:val="clear" w:color="auto" w:fill="F7F4FB"/>
          </w:tcPr>
          <w:p>
            <w:pPr>
              <w:spacing w:after="20"/>
            </w:pPr>
            <w:r/>
            <w:r>
              <w:rPr>
                <w:sz w:val="15"/>
              </w:rPr>
              <w:t>Uncontrolled AI cost and consumption</w:t>
            </w:r>
          </w:p>
        </w:tc>
        <w:tc>
          <w:tcPr>
            <w:tcW w:type="dxa" w:w="4989"/>
            <w:shd w:val="clear" w:color="auto" w:fill="F7F4FB"/>
          </w:tcPr>
          <w:p>
            <w:pPr>
              <w:spacing w:after="20"/>
            </w:pPr>
            <w:r/>
            <w:r>
              <w:rPr>
                <w:sz w:val="15"/>
              </w:rPr>
              <w:t>Compute and API spend escalate without governance (incl. denial-of-wallet attacks).</w:t>
            </w:r>
          </w:p>
        </w:tc>
        <w:tc>
          <w:tcPr>
            <w:tcW w:type="dxa" w:w="1531"/>
            <w:shd w:val="clear" w:color="auto" w:fill="F7F4FB"/>
          </w:tcPr>
          <w:p>
            <w:pPr>
              <w:spacing w:after="20"/>
            </w:pPr>
            <w:r/>
            <w:r>
              <w:rPr>
                <w:sz w:val="15"/>
              </w:rPr>
              <w:t>GL-6, SE-6</w:t>
            </w:r>
          </w:p>
        </w:tc>
      </w:tr>
      <w:tr>
        <w:tc>
          <w:tcPr>
            <w:tcW w:type="dxa" w:w="850"/>
          </w:tcPr>
          <w:p>
            <w:pPr>
              <w:spacing w:after="20"/>
            </w:pPr>
            <w:r/>
            <w:r>
              <w:rPr>
                <w:b/>
                <w:sz w:val="15"/>
              </w:rPr>
              <w:t>OPS-04</w:t>
            </w:r>
          </w:p>
        </w:tc>
        <w:tc>
          <w:tcPr>
            <w:tcW w:type="dxa" w:w="2268"/>
          </w:tcPr>
          <w:p>
            <w:pPr>
              <w:spacing w:after="20"/>
            </w:pPr>
            <w:r/>
            <w:r>
              <w:rPr>
                <w:sz w:val="15"/>
              </w:rPr>
              <w:t>No safe degradation or kill switch</w:t>
            </w:r>
          </w:p>
        </w:tc>
        <w:tc>
          <w:tcPr>
            <w:tcW w:type="dxa" w:w="4989"/>
          </w:tcPr>
          <w:p>
            <w:pPr>
              <w:spacing w:after="20"/>
            </w:pPr>
            <w:r/>
            <w:r>
              <w:rPr>
                <w:sz w:val="15"/>
              </w:rPr>
              <w:t>A failing or compromised AI system cannot be stopped quickly or the business process cannot revert to manual operation.</w:t>
            </w:r>
          </w:p>
        </w:tc>
        <w:tc>
          <w:tcPr>
            <w:tcW w:type="dxa" w:w="1531"/>
          </w:tcPr>
          <w:p>
            <w:pPr>
              <w:spacing w:after="20"/>
            </w:pPr>
            <w:r/>
            <w:r>
              <w:rPr>
                <w:sz w:val="15"/>
              </w:rPr>
              <w:t>OM-4</w:t>
            </w:r>
          </w:p>
        </w:tc>
      </w:tr>
      <w:tr>
        <w:tc>
          <w:tcPr>
            <w:tcW w:type="dxa" w:w="850"/>
            <w:shd w:val="clear" w:color="auto" w:fill="F7F4FB"/>
          </w:tcPr>
          <w:p>
            <w:pPr>
              <w:spacing w:after="20"/>
            </w:pPr>
            <w:r/>
            <w:r>
              <w:rPr>
                <w:b/>
                <w:sz w:val="15"/>
              </w:rPr>
              <w:t>OPS-03</w:t>
            </w:r>
          </w:p>
        </w:tc>
        <w:tc>
          <w:tcPr>
            <w:tcW w:type="dxa" w:w="2268"/>
            <w:shd w:val="clear" w:color="auto" w:fill="F7F4FB"/>
          </w:tcPr>
          <w:p>
            <w:pPr>
              <w:spacing w:after="20"/>
            </w:pPr>
            <w:r/>
            <w:r>
              <w:rPr>
                <w:sz w:val="15"/>
              </w:rPr>
              <w:t>Environmental impact of AI</w:t>
            </w:r>
          </w:p>
        </w:tc>
        <w:tc>
          <w:tcPr>
            <w:tcW w:type="dxa" w:w="4989"/>
            <w:shd w:val="clear" w:color="auto" w:fill="F7F4FB"/>
          </w:tcPr>
          <w:p>
            <w:pPr>
              <w:spacing w:after="20"/>
            </w:pPr>
            <w:r/>
            <w:r>
              <w:rPr>
                <w:sz w:val="15"/>
              </w:rPr>
              <w:t>Energy, water and carbon footprint of AI workloads conflicts with sustainability commitments.</w:t>
            </w:r>
          </w:p>
        </w:tc>
        <w:tc>
          <w:tcPr>
            <w:tcW w:type="dxa" w:w="1531"/>
            <w:shd w:val="clear" w:color="auto" w:fill="F7F4FB"/>
          </w:tcPr>
          <w:p>
            <w:pPr>
              <w:spacing w:after="20"/>
            </w:pPr>
            <w:r/>
            <w:r>
              <w:rPr>
                <w:sz w:val="15"/>
              </w:rPr>
              <w:t>RS-8</w:t>
            </w:r>
          </w:p>
        </w:tc>
      </w:tr>
    </w:tbl>
    <w:p>
      <w:pPr>
        <w:spacing w:after="40"/>
      </w:pPr>
    </w:p>
    <w:p>
      <w:pPr>
        <w:pStyle w:val="Heading3"/>
      </w:pPr>
      <w:r>
        <w:t>7.12 Societal, Reputational &amp; AI-Enabled Threats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SOC-01</w:t>
            </w:r>
          </w:p>
        </w:tc>
        <w:tc>
          <w:tcPr>
            <w:tcW w:type="dxa" w:w="2268"/>
          </w:tcPr>
          <w:p>
            <w:pPr>
              <w:spacing w:after="20"/>
            </w:pPr>
            <w:r/>
            <w:r>
              <w:rPr>
                <w:sz w:val="15"/>
              </w:rPr>
              <w:t>Harmful, toxic or unsafe content</w:t>
            </w:r>
          </w:p>
        </w:tc>
        <w:tc>
          <w:tcPr>
            <w:tcW w:type="dxa" w:w="4989"/>
          </w:tcPr>
          <w:p>
            <w:pPr>
              <w:spacing w:after="20"/>
            </w:pPr>
            <w:r/>
            <w:r>
              <w:rPr>
                <w:sz w:val="15"/>
              </w:rPr>
              <w:t>AI generates offensive, dangerous or culturally inappropriate content.</w:t>
            </w:r>
          </w:p>
        </w:tc>
        <w:tc>
          <w:tcPr>
            <w:tcW w:type="dxa" w:w="1531"/>
          </w:tcPr>
          <w:p>
            <w:pPr>
              <w:spacing w:after="20"/>
            </w:pPr>
            <w:r/>
            <w:r>
              <w:rPr>
                <w:sz w:val="15"/>
              </w:rPr>
              <w:t>RS-2, SE-6</w:t>
            </w:r>
          </w:p>
        </w:tc>
      </w:tr>
      <w:tr>
        <w:tc>
          <w:tcPr>
            <w:tcW w:type="dxa" w:w="850"/>
            <w:shd w:val="clear" w:color="auto" w:fill="F7F4FB"/>
          </w:tcPr>
          <w:p>
            <w:pPr>
              <w:spacing w:after="20"/>
            </w:pPr>
            <w:r/>
            <w:r>
              <w:rPr>
                <w:b/>
                <w:sz w:val="15"/>
              </w:rPr>
              <w:t>SOC-02</w:t>
            </w:r>
          </w:p>
        </w:tc>
        <w:tc>
          <w:tcPr>
            <w:tcW w:type="dxa" w:w="2268"/>
            <w:shd w:val="clear" w:color="auto" w:fill="F7F4FB"/>
          </w:tcPr>
          <w:p>
            <w:pPr>
              <w:spacing w:after="20"/>
            </w:pPr>
            <w:r/>
            <w:r>
              <w:rPr>
                <w:sz w:val="15"/>
              </w:rPr>
              <w:t>Misinformation and loss of stakeholder trust</w:t>
            </w:r>
          </w:p>
        </w:tc>
        <w:tc>
          <w:tcPr>
            <w:tcW w:type="dxa" w:w="4989"/>
            <w:shd w:val="clear" w:color="auto" w:fill="F7F4FB"/>
          </w:tcPr>
          <w:p>
            <w:pPr>
              <w:spacing w:after="20"/>
            </w:pPr>
            <w:r/>
            <w:r>
              <w:rPr>
                <w:sz w:val="15"/>
              </w:rPr>
              <w:t>AI-generated errors or undisclosed AI use damage client, regulator or public trust.</w:t>
            </w:r>
          </w:p>
        </w:tc>
        <w:tc>
          <w:tcPr>
            <w:tcW w:type="dxa" w:w="1531"/>
            <w:shd w:val="clear" w:color="auto" w:fill="F7F4FB"/>
          </w:tcPr>
          <w:p>
            <w:pPr>
              <w:spacing w:after="20"/>
            </w:pPr>
            <w:r/>
            <w:r>
              <w:rPr>
                <w:sz w:val="15"/>
              </w:rPr>
              <w:t>LC-7, CO-1, CO-2</w:t>
            </w:r>
          </w:p>
        </w:tc>
      </w:tr>
      <w:tr>
        <w:tc>
          <w:tcPr>
            <w:tcW w:type="dxa" w:w="850"/>
          </w:tcPr>
          <w:p>
            <w:pPr>
              <w:spacing w:after="20"/>
            </w:pPr>
            <w:r/>
            <w:r>
              <w:rPr>
                <w:b/>
                <w:sz w:val="15"/>
              </w:rPr>
              <w:t>SOC-03</w:t>
            </w:r>
          </w:p>
        </w:tc>
        <w:tc>
          <w:tcPr>
            <w:tcW w:type="dxa" w:w="2268"/>
          </w:tcPr>
          <w:p>
            <w:pPr>
              <w:spacing w:after="20"/>
            </w:pPr>
            <w:r/>
            <w:r>
              <w:rPr>
                <w:sz w:val="15"/>
              </w:rPr>
              <w:t>Deepfake and AI-enabled fraud against the organisation</w:t>
            </w:r>
          </w:p>
        </w:tc>
        <w:tc>
          <w:tcPr>
            <w:tcW w:type="dxa" w:w="4989"/>
          </w:tcPr>
          <w:p>
            <w:pPr>
              <w:spacing w:after="20"/>
            </w:pPr>
            <w:r/>
            <w:r>
              <w:rPr>
                <w:sz w:val="15"/>
              </w:rPr>
              <w:t>Voice/video impersonation or AI-crafted phishing leads to fraudulent payments or data release.</w:t>
            </w:r>
          </w:p>
        </w:tc>
        <w:tc>
          <w:tcPr>
            <w:tcW w:type="dxa" w:w="1531"/>
          </w:tcPr>
          <w:p>
            <w:pPr>
              <w:spacing w:after="20"/>
            </w:pPr>
            <w:r/>
            <w:r>
              <w:rPr>
                <w:sz w:val="15"/>
              </w:rPr>
              <w:t>AT-3, GL-4</w:t>
            </w:r>
          </w:p>
        </w:tc>
      </w:tr>
      <w:tr>
        <w:tc>
          <w:tcPr>
            <w:tcW w:type="dxa" w:w="850"/>
            <w:shd w:val="clear" w:color="auto" w:fill="F7F4FB"/>
          </w:tcPr>
          <w:p>
            <w:pPr>
              <w:spacing w:after="20"/>
            </w:pPr>
            <w:r/>
            <w:r>
              <w:rPr>
                <w:b/>
                <w:sz w:val="15"/>
              </w:rPr>
              <w:t>SOC-04</w:t>
            </w:r>
          </w:p>
        </w:tc>
        <w:tc>
          <w:tcPr>
            <w:tcW w:type="dxa" w:w="2268"/>
            <w:shd w:val="clear" w:color="auto" w:fill="F7F4FB"/>
          </w:tcPr>
          <w:p>
            <w:pPr>
              <w:spacing w:after="20"/>
            </w:pPr>
            <w:r/>
            <w:r>
              <w:rPr>
                <w:sz w:val="15"/>
              </w:rPr>
              <w:t>AI-accelerated cyber attacks</w:t>
            </w:r>
          </w:p>
        </w:tc>
        <w:tc>
          <w:tcPr>
            <w:tcW w:type="dxa" w:w="4989"/>
            <w:shd w:val="clear" w:color="auto" w:fill="F7F4FB"/>
          </w:tcPr>
          <w:p>
            <w:pPr>
              <w:spacing w:after="20"/>
            </w:pPr>
            <w:r/>
            <w:r>
              <w:rPr>
                <w:sz w:val="15"/>
              </w:rPr>
              <w:t>Adversaries use AI for automated discovery, exploit chaining and scaled social engineering, outpacing defences.</w:t>
            </w:r>
          </w:p>
        </w:tc>
        <w:tc>
          <w:tcPr>
            <w:tcW w:type="dxa" w:w="1531"/>
            <w:shd w:val="clear" w:color="auto" w:fill="F7F4FB"/>
          </w:tcPr>
          <w:p>
            <w:pPr>
              <w:spacing w:after="20"/>
            </w:pPr>
            <w:r/>
            <w:r>
              <w:rPr>
                <w:sz w:val="15"/>
              </w:rPr>
              <w:t>AT-1, AT-2, AT-4</w:t>
            </w:r>
          </w:p>
        </w:tc>
      </w:tr>
    </w:tbl>
    <w:p>
      <w:pPr>
        <w:spacing w:after="40"/>
      </w:pPr>
    </w:p>
    <w:p>
      <w:pPr>
        <w:pStyle w:val="Heading1"/>
      </w:pPr>
      <w:r>
        <w:t>8. Minimum requirements by tier</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3118"/>
        <w:gridCol w:w="1304"/>
        <w:gridCol w:w="1644"/>
        <w:gridCol w:w="1701"/>
        <w:gridCol w:w="1871"/>
      </w:tblGrid>
      <w:tr>
        <w:trPr>
          <w:tblHeader w:val="true"/>
        </w:trPr>
        <w:tc>
          <w:tcPr>
            <w:tcW w:type="dxa" w:w="3118"/>
            <w:shd w:val="clear" w:color="auto" w:fill="4F2D7F"/>
            <w:vAlign w:val="center"/>
          </w:tcPr>
          <w:p>
            <w:r/>
            <w:r>
              <w:rPr>
                <w:b/>
                <w:color w:val="FFFFFF"/>
                <w:sz w:val="16"/>
              </w:rPr>
              <w:t>Requirement</w:t>
            </w:r>
          </w:p>
        </w:tc>
        <w:tc>
          <w:tcPr>
            <w:tcW w:type="dxa" w:w="1304"/>
            <w:shd w:val="clear" w:color="auto" w:fill="4F2D7F"/>
            <w:vAlign w:val="center"/>
          </w:tcPr>
          <w:p>
            <w:r/>
            <w:r>
              <w:rPr>
                <w:b/>
                <w:color w:val="FFFFFF"/>
                <w:sz w:val="16"/>
              </w:rPr>
              <w:t>Low</w:t>
            </w:r>
          </w:p>
        </w:tc>
        <w:tc>
          <w:tcPr>
            <w:tcW w:type="dxa" w:w="1644"/>
            <w:shd w:val="clear" w:color="auto" w:fill="4F2D7F"/>
            <w:vAlign w:val="center"/>
          </w:tcPr>
          <w:p>
            <w:r/>
            <w:r>
              <w:rPr>
                <w:b/>
                <w:color w:val="FFFFFF"/>
                <w:sz w:val="16"/>
              </w:rPr>
              <w:t>Medium</w:t>
            </w:r>
          </w:p>
        </w:tc>
        <w:tc>
          <w:tcPr>
            <w:tcW w:type="dxa" w:w="1701"/>
            <w:shd w:val="clear" w:color="auto" w:fill="4F2D7F"/>
            <w:vAlign w:val="center"/>
          </w:tcPr>
          <w:p>
            <w:r/>
            <w:r>
              <w:rPr>
                <w:b/>
                <w:color w:val="FFFFFF"/>
                <w:sz w:val="16"/>
              </w:rPr>
              <w:t>High</w:t>
            </w:r>
          </w:p>
        </w:tc>
        <w:tc>
          <w:tcPr>
            <w:tcW w:type="dxa" w:w="1871"/>
            <w:shd w:val="clear" w:color="auto" w:fill="4F2D7F"/>
            <w:vAlign w:val="center"/>
          </w:tcPr>
          <w:p>
            <w:r/>
            <w:r>
              <w:rPr>
                <w:b/>
                <w:color w:val="FFFFFF"/>
                <w:sz w:val="16"/>
              </w:rPr>
              <w:t>Critical</w:t>
            </w:r>
          </w:p>
        </w:tc>
      </w:tr>
      <w:tr>
        <w:tc>
          <w:tcPr>
            <w:tcW w:type="dxa" w:w="3118"/>
          </w:tcPr>
          <w:p>
            <w:pPr>
              <w:spacing w:after="20"/>
            </w:pPr>
            <w:r/>
            <w:r>
              <w:rPr>
                <w:b/>
                <w:sz w:val="16"/>
              </w:rPr>
              <w:t>AI register entry &amp; owner</w:t>
            </w:r>
          </w:p>
        </w:tc>
        <w:tc>
          <w:tcPr>
            <w:tcW w:type="dxa" w:w="1304"/>
          </w:tcPr>
          <w:p>
            <w:pPr>
              <w:spacing w:after="20"/>
            </w:pPr>
            <w:r/>
            <w:r>
              <w:rPr>
                <w:sz w:val="16"/>
              </w:rPr>
              <w:t>Yes</w:t>
            </w:r>
          </w:p>
        </w:tc>
        <w:tc>
          <w:tcPr>
            <w:tcW w:type="dxa" w:w="1644"/>
          </w:tcPr>
          <w:p>
            <w:pPr>
              <w:spacing w:after="20"/>
            </w:pPr>
            <w:r/>
            <w:r>
              <w:rPr>
                <w:sz w:val="16"/>
              </w:rPr>
              <w:t>Yes</w:t>
            </w:r>
          </w:p>
        </w:tc>
        <w:tc>
          <w:tcPr>
            <w:tcW w:type="dxa" w:w="1701"/>
          </w:tcPr>
          <w:p>
            <w:pPr>
              <w:spacing w:after="20"/>
            </w:pPr>
            <w:r/>
            <w:r>
              <w:rPr>
                <w:sz w:val="16"/>
              </w:rPr>
              <w:t>Yes</w:t>
            </w:r>
          </w:p>
        </w:tc>
        <w:tc>
          <w:tcPr>
            <w:tcW w:type="dxa" w:w="1871"/>
          </w:tcPr>
          <w:p>
            <w:pPr>
              <w:spacing w:after="20"/>
            </w:pPr>
            <w:r/>
            <w:r>
              <w:rPr>
                <w:sz w:val="16"/>
              </w:rPr>
              <w:t>Yes</w:t>
            </w:r>
          </w:p>
        </w:tc>
      </w:tr>
      <w:tr>
        <w:tc>
          <w:tcPr>
            <w:tcW w:type="dxa" w:w="3118"/>
            <w:shd w:val="clear" w:color="auto" w:fill="F7F4FB"/>
          </w:tcPr>
          <w:p>
            <w:pPr>
              <w:spacing w:after="20"/>
            </w:pPr>
            <w:r/>
            <w:r>
              <w:rPr>
                <w:b/>
                <w:sz w:val="16"/>
              </w:rPr>
              <w:t>Prohibited-practice screen &amp; tiering</w:t>
            </w:r>
          </w:p>
        </w:tc>
        <w:tc>
          <w:tcPr>
            <w:tcW w:type="dxa" w:w="1304"/>
            <w:shd w:val="clear" w:color="auto" w:fill="F7F4FB"/>
          </w:tcPr>
          <w:p>
            <w:pPr>
              <w:spacing w:after="20"/>
            </w:pPr>
            <w:r/>
            <w:r>
              <w:rPr>
                <w:sz w:val="16"/>
              </w:rPr>
              <w:t>Yes</w:t>
            </w:r>
          </w:p>
        </w:tc>
        <w:tc>
          <w:tcPr>
            <w:tcW w:type="dxa" w:w="1644"/>
            <w:shd w:val="clear" w:color="auto" w:fill="F7F4FB"/>
          </w:tcPr>
          <w:p>
            <w:pPr>
              <w:spacing w:after="20"/>
            </w:pPr>
            <w:r/>
            <w:r>
              <w:rPr>
                <w:sz w:val="16"/>
              </w:rPr>
              <w:t>Yes</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Risk register (taxonomy walkthrough)</w:t>
            </w:r>
          </w:p>
        </w:tc>
        <w:tc>
          <w:tcPr>
            <w:tcW w:type="dxa" w:w="1304"/>
          </w:tcPr>
          <w:p>
            <w:pPr>
              <w:spacing w:after="20"/>
            </w:pPr>
            <w:r/>
            <w:r>
              <w:rPr>
                <w:sz w:val="16"/>
              </w:rPr>
              <w:t>Key risks only</w:t>
            </w:r>
          </w:p>
        </w:tc>
        <w:tc>
          <w:tcPr>
            <w:tcW w:type="dxa" w:w="1644"/>
          </w:tcPr>
          <w:p>
            <w:pPr>
              <w:spacing w:after="20"/>
            </w:pPr>
            <w:r/>
            <w:r>
              <w:rPr>
                <w:sz w:val="16"/>
              </w:rPr>
              <w:t>Yes</w:t>
            </w:r>
          </w:p>
        </w:tc>
        <w:tc>
          <w:tcPr>
            <w:tcW w:type="dxa" w:w="1701"/>
          </w:tcPr>
          <w:p>
            <w:pPr>
              <w:spacing w:after="20"/>
            </w:pPr>
            <w:r/>
            <w:r>
              <w:rPr>
                <w:sz w:val="16"/>
              </w:rPr>
              <w:t>Yes</w:t>
            </w:r>
          </w:p>
        </w:tc>
        <w:tc>
          <w:tcPr>
            <w:tcW w:type="dxa" w:w="1871"/>
          </w:tcPr>
          <w:p>
            <w:pPr>
              <w:spacing w:after="20"/>
            </w:pPr>
            <w:r/>
            <w:r>
              <w:rPr>
                <w:sz w:val="16"/>
              </w:rPr>
              <w:t>Yes</w:t>
            </w:r>
          </w:p>
        </w:tc>
      </w:tr>
      <w:tr>
        <w:tc>
          <w:tcPr>
            <w:tcW w:type="dxa" w:w="3118"/>
            <w:shd w:val="clear" w:color="auto" w:fill="F7F4FB"/>
          </w:tcPr>
          <w:p>
            <w:pPr>
              <w:spacing w:after="20"/>
            </w:pPr>
            <w:r/>
            <w:r>
              <w:rPr>
                <w:b/>
                <w:sz w:val="16"/>
              </w:rPr>
              <w:t>DPIA (if personal data)</w:t>
            </w:r>
          </w:p>
        </w:tc>
        <w:tc>
          <w:tcPr>
            <w:tcW w:type="dxa" w:w="1304"/>
            <w:shd w:val="clear" w:color="auto" w:fill="F7F4FB"/>
          </w:tcPr>
          <w:p>
            <w:pPr>
              <w:spacing w:after="20"/>
            </w:pPr>
            <w:r/>
            <w:r>
              <w:rPr>
                <w:sz w:val="16"/>
              </w:rPr>
              <w:t>Screening</w:t>
            </w:r>
          </w:p>
        </w:tc>
        <w:tc>
          <w:tcPr>
            <w:tcW w:type="dxa" w:w="1644"/>
            <w:shd w:val="clear" w:color="auto" w:fill="F7F4FB"/>
          </w:tcPr>
          <w:p>
            <w:pPr>
              <w:spacing w:after="20"/>
            </w:pPr>
            <w:r/>
            <w:r>
              <w:rPr>
                <w:sz w:val="16"/>
              </w:rPr>
              <w:t>Yes</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AI system impact assessment (ISO/IEC 42005) / FRIA</w:t>
            </w:r>
          </w:p>
        </w:tc>
        <w:tc>
          <w:tcPr>
            <w:tcW w:type="dxa" w:w="1304"/>
          </w:tcPr>
          <w:p>
            <w:pPr>
              <w:spacing w:after="20"/>
            </w:pPr>
            <w:r/>
            <w:r>
              <w:rPr>
                <w:sz w:val="16"/>
              </w:rPr>
              <w:t>-</w:t>
            </w:r>
          </w:p>
        </w:tc>
        <w:tc>
          <w:tcPr>
            <w:tcW w:type="dxa" w:w="1644"/>
          </w:tcPr>
          <w:p>
            <w:pPr>
              <w:spacing w:after="20"/>
            </w:pPr>
            <w:r/>
            <w:r>
              <w:rPr>
                <w:sz w:val="16"/>
              </w:rPr>
              <w:t>Light</w:t>
            </w:r>
          </w:p>
        </w:tc>
        <w:tc>
          <w:tcPr>
            <w:tcW w:type="dxa" w:w="1701"/>
          </w:tcPr>
          <w:p>
            <w:pPr>
              <w:spacing w:after="20"/>
            </w:pPr>
            <w:r/>
            <w:r>
              <w:rPr>
                <w:sz w:val="16"/>
              </w:rPr>
              <w:t>Full</w:t>
            </w:r>
          </w:p>
        </w:tc>
        <w:tc>
          <w:tcPr>
            <w:tcW w:type="dxa" w:w="1871"/>
          </w:tcPr>
          <w:p>
            <w:pPr>
              <w:spacing w:after="20"/>
            </w:pPr>
            <w:r/>
            <w:r>
              <w:rPr>
                <w:sz w:val="16"/>
              </w:rPr>
              <w:t>Full + external input</w:t>
            </w:r>
          </w:p>
        </w:tc>
      </w:tr>
      <w:tr>
        <w:tc>
          <w:tcPr>
            <w:tcW w:type="dxa" w:w="3118"/>
            <w:shd w:val="clear" w:color="auto" w:fill="F7F4FB"/>
          </w:tcPr>
          <w:p>
            <w:pPr>
              <w:spacing w:after="20"/>
            </w:pPr>
            <w:r/>
            <w:r>
              <w:rPr>
                <w:b/>
                <w:sz w:val="16"/>
              </w:rPr>
              <w:t>Security threat model (OWASP / ATLAS)</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If external exposure</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Bias / fairness testing</w:t>
            </w:r>
          </w:p>
        </w:tc>
        <w:tc>
          <w:tcPr>
            <w:tcW w:type="dxa" w:w="1304"/>
          </w:tcPr>
          <w:p>
            <w:pPr>
              <w:spacing w:after="20"/>
            </w:pPr>
            <w:r/>
            <w:r>
              <w:rPr>
                <w:sz w:val="16"/>
              </w:rPr>
              <w:t>-</w:t>
            </w:r>
          </w:p>
        </w:tc>
        <w:tc>
          <w:tcPr>
            <w:tcW w:type="dxa" w:w="1644"/>
          </w:tcPr>
          <w:p>
            <w:pPr>
              <w:spacing w:after="20"/>
            </w:pPr>
            <w:r/>
            <w:r>
              <w:rPr>
                <w:sz w:val="16"/>
              </w:rPr>
              <w:t>If affects individuals</w:t>
            </w:r>
          </w:p>
        </w:tc>
        <w:tc>
          <w:tcPr>
            <w:tcW w:type="dxa" w:w="1701"/>
          </w:tcPr>
          <w:p>
            <w:pPr>
              <w:spacing w:after="20"/>
            </w:pPr>
            <w:r/>
            <w:r>
              <w:rPr>
                <w:sz w:val="16"/>
              </w:rPr>
              <w:t>Yes</w:t>
            </w:r>
          </w:p>
        </w:tc>
        <w:tc>
          <w:tcPr>
            <w:tcW w:type="dxa" w:w="1871"/>
          </w:tcPr>
          <w:p>
            <w:pPr>
              <w:spacing w:after="20"/>
            </w:pPr>
            <w:r/>
            <w:r>
              <w:rPr>
                <w:sz w:val="16"/>
              </w:rPr>
              <w:t>Yes + independent</w:t>
            </w:r>
          </w:p>
        </w:tc>
      </w:tr>
      <w:tr>
        <w:tc>
          <w:tcPr>
            <w:tcW w:type="dxa" w:w="3118"/>
            <w:shd w:val="clear" w:color="auto" w:fill="F7F4FB"/>
          </w:tcPr>
          <w:p>
            <w:pPr>
              <w:spacing w:after="20"/>
            </w:pPr>
            <w:r/>
            <w:r>
              <w:rPr>
                <w:b/>
                <w:sz w:val="16"/>
              </w:rPr>
              <w:t>Independent validation (LC-9) / red teaming (AA-3)</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 (pre-deployment)</w:t>
            </w:r>
          </w:p>
        </w:tc>
      </w:tr>
      <w:tr>
        <w:tc>
          <w:tcPr>
            <w:tcW w:type="dxa" w:w="3118"/>
          </w:tcPr>
          <w:p>
            <w:pPr>
              <w:spacing w:after="20"/>
            </w:pPr>
            <w:r/>
            <w:r>
              <w:rPr>
                <w:b/>
                <w:sz w:val="16"/>
              </w:rPr>
              <w:t>Human oversight design (RS-1)</w:t>
            </w:r>
          </w:p>
        </w:tc>
        <w:tc>
          <w:tcPr>
            <w:tcW w:type="dxa" w:w="1304"/>
          </w:tcPr>
          <w:p>
            <w:pPr>
              <w:spacing w:after="20"/>
            </w:pPr>
            <w:r/>
            <w:r>
              <w:rPr>
                <w:sz w:val="16"/>
              </w:rPr>
              <w:t>Policy</w:t>
            </w:r>
          </w:p>
        </w:tc>
        <w:tc>
          <w:tcPr>
            <w:tcW w:type="dxa" w:w="1644"/>
          </w:tcPr>
          <w:p>
            <w:pPr>
              <w:spacing w:after="20"/>
            </w:pPr>
            <w:r/>
            <w:r>
              <w:rPr>
                <w:sz w:val="16"/>
              </w:rPr>
              <w:t>Documented</w:t>
            </w:r>
          </w:p>
        </w:tc>
        <w:tc>
          <w:tcPr>
            <w:tcW w:type="dxa" w:w="1701"/>
          </w:tcPr>
          <w:p>
            <w:pPr>
              <w:spacing w:after="20"/>
            </w:pPr>
            <w:r/>
            <w:r>
              <w:rPr>
                <w:sz w:val="16"/>
              </w:rPr>
              <w:t>Documented &amp; tested</w:t>
            </w:r>
          </w:p>
        </w:tc>
        <w:tc>
          <w:tcPr>
            <w:tcW w:type="dxa" w:w="1871"/>
          </w:tcPr>
          <w:p>
            <w:pPr>
              <w:spacing w:after="20"/>
            </w:pPr>
            <w:r/>
            <w:r>
              <w:rPr>
                <w:sz w:val="16"/>
              </w:rPr>
              <w:t>Documented, tested, staffed</w:t>
            </w:r>
          </w:p>
        </w:tc>
      </w:tr>
      <w:tr>
        <w:tc>
          <w:tcPr>
            <w:tcW w:type="dxa" w:w="3118"/>
            <w:shd w:val="clear" w:color="auto" w:fill="F7F4FB"/>
          </w:tcPr>
          <w:p>
            <w:pPr>
              <w:spacing w:after="20"/>
            </w:pPr>
            <w:r/>
            <w:r>
              <w:rPr>
                <w:b/>
                <w:sz w:val="16"/>
              </w:rPr>
              <w:t>Legal review</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If flagged</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Approval</w:t>
            </w:r>
          </w:p>
        </w:tc>
        <w:tc>
          <w:tcPr>
            <w:tcW w:type="dxa" w:w="1304"/>
          </w:tcPr>
          <w:p>
            <w:pPr>
              <w:spacing w:after="20"/>
            </w:pPr>
            <w:r/>
            <w:r>
              <w:rPr>
                <w:sz w:val="16"/>
              </w:rPr>
              <w:t>Owner</w:t>
            </w:r>
          </w:p>
        </w:tc>
        <w:tc>
          <w:tcPr>
            <w:tcW w:type="dxa" w:w="1644"/>
          </w:tcPr>
          <w:p>
            <w:pPr>
              <w:spacing w:after="20"/>
            </w:pPr>
            <w:r/>
            <w:r>
              <w:rPr>
                <w:sz w:val="16"/>
              </w:rPr>
              <w:t>Function head + Risk</w:t>
            </w:r>
          </w:p>
        </w:tc>
        <w:tc>
          <w:tcPr>
            <w:tcW w:type="dxa" w:w="1701"/>
          </w:tcPr>
          <w:p>
            <w:pPr>
              <w:spacing w:after="20"/>
            </w:pPr>
            <w:r/>
            <w:r>
              <w:rPr>
                <w:sz w:val="16"/>
              </w:rPr>
              <w:t>AI Committee</w:t>
            </w:r>
          </w:p>
        </w:tc>
        <w:tc>
          <w:tcPr>
            <w:tcW w:type="dxa" w:w="1871"/>
          </w:tcPr>
          <w:p>
            <w:pPr>
              <w:spacing w:after="20"/>
            </w:pPr>
            <w:r/>
            <w:r>
              <w:rPr>
                <w:sz w:val="16"/>
              </w:rPr>
              <w:t>ExCo / Board Risk Committee</w:t>
            </w:r>
          </w:p>
        </w:tc>
      </w:tr>
      <w:tr>
        <w:tc>
          <w:tcPr>
            <w:tcW w:type="dxa" w:w="3118"/>
            <w:shd w:val="clear" w:color="auto" w:fill="F7F4FB"/>
          </w:tcPr>
          <w:p>
            <w:pPr>
              <w:spacing w:after="20"/>
            </w:pPr>
            <w:r/>
            <w:r>
              <w:rPr>
                <w:b/>
                <w:sz w:val="16"/>
              </w:rPr>
              <w:t>Staged rollout &amp; kill-switch (RCM OM-4)</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w:t>
            </w:r>
          </w:p>
        </w:tc>
        <w:tc>
          <w:tcPr>
            <w:tcW w:type="dxa" w:w="1701"/>
            <w:shd w:val="clear" w:color="auto" w:fill="F7F4FB"/>
          </w:tcPr>
          <w:p>
            <w:pPr>
              <w:spacing w:after="20"/>
            </w:pPr>
            <w:r/>
            <w:r>
              <w:rPr>
                <w:sz w:val="16"/>
              </w:rPr>
              <w:t>Recommended</w:t>
            </w:r>
          </w:p>
        </w:tc>
        <w:tc>
          <w:tcPr>
            <w:tcW w:type="dxa" w:w="1871"/>
            <w:shd w:val="clear" w:color="auto" w:fill="F7F4FB"/>
          </w:tcPr>
          <w:p>
            <w:pPr>
              <w:spacing w:after="20"/>
            </w:pPr>
            <w:r/>
            <w:r>
              <w:rPr>
                <w:sz w:val="16"/>
              </w:rPr>
              <w:t>Mandatory</w:t>
            </w:r>
          </w:p>
        </w:tc>
      </w:tr>
      <w:tr>
        <w:tc>
          <w:tcPr>
            <w:tcW w:type="dxa" w:w="3118"/>
          </w:tcPr>
          <w:p>
            <w:pPr>
              <w:spacing w:after="20"/>
            </w:pPr>
            <w:r/>
            <w:r>
              <w:rPr>
                <w:b/>
                <w:sz w:val="16"/>
              </w:rPr>
              <w:t>GT AI Security &amp; Agent Audit Checklist</w:t>
            </w:r>
          </w:p>
        </w:tc>
        <w:tc>
          <w:tcPr>
            <w:tcW w:type="dxa" w:w="1304"/>
          </w:tcPr>
          <w:p>
            <w:pPr>
              <w:spacing w:after="20"/>
            </w:pPr>
            <w:r/>
            <w:r>
              <w:rPr>
                <w:sz w:val="16"/>
              </w:rPr>
              <w:t>-</w:t>
            </w:r>
          </w:p>
        </w:tc>
        <w:tc>
          <w:tcPr>
            <w:tcW w:type="dxa" w:w="1644"/>
          </w:tcPr>
          <w:p>
            <w:pPr>
              <w:spacing w:after="20"/>
            </w:pPr>
            <w:r/>
            <w:r>
              <w:rPr>
                <w:sz w:val="16"/>
              </w:rPr>
              <w:t>Core sections</w:t>
            </w:r>
          </w:p>
        </w:tc>
        <w:tc>
          <w:tcPr>
            <w:tcW w:type="dxa" w:w="1701"/>
          </w:tcPr>
          <w:p>
            <w:pPr>
              <w:spacing w:after="20"/>
            </w:pPr>
            <w:r/>
            <w:r>
              <w:rPr>
                <w:sz w:val="16"/>
              </w:rPr>
              <w:t>Full (+ agent section if agentic)</w:t>
            </w:r>
          </w:p>
        </w:tc>
        <w:tc>
          <w:tcPr>
            <w:tcW w:type="dxa" w:w="1871"/>
          </w:tcPr>
          <w:p>
            <w:pPr>
              <w:spacing w:after="20"/>
            </w:pPr>
            <w:r/>
            <w:r>
              <w:rPr>
                <w:sz w:val="16"/>
              </w:rPr>
              <w:t>Full + independent auditor</w:t>
            </w:r>
          </w:p>
        </w:tc>
      </w:tr>
      <w:tr>
        <w:tc>
          <w:tcPr>
            <w:tcW w:type="dxa" w:w="3118"/>
            <w:shd w:val="clear" w:color="auto" w:fill="F7F4FB"/>
          </w:tcPr>
          <w:p>
            <w:pPr>
              <w:spacing w:after="20"/>
            </w:pPr>
            <w:r/>
            <w:r>
              <w:rPr>
                <w:b/>
                <w:sz w:val="16"/>
              </w:rPr>
              <w:t>Agentic AI secure-by-default baseline (Appendix D)</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If agentic</w:t>
            </w:r>
          </w:p>
        </w:tc>
        <w:tc>
          <w:tcPr>
            <w:tcW w:type="dxa" w:w="1701"/>
            <w:shd w:val="clear" w:color="auto" w:fill="F7F4FB"/>
          </w:tcPr>
          <w:p>
            <w:pPr>
              <w:spacing w:after="20"/>
            </w:pPr>
            <w:r/>
            <w:r>
              <w:rPr>
                <w:sz w:val="16"/>
              </w:rPr>
              <w:t>Mandatory if agentic</w:t>
            </w:r>
          </w:p>
        </w:tc>
        <w:tc>
          <w:tcPr>
            <w:tcW w:type="dxa" w:w="1871"/>
            <w:shd w:val="clear" w:color="auto" w:fill="F7F4FB"/>
          </w:tcPr>
          <w:p>
            <w:pPr>
              <w:spacing w:after="20"/>
            </w:pPr>
            <w:r/>
            <w:r>
              <w:rPr>
                <w:sz w:val="16"/>
              </w:rPr>
              <w:t>Mandatory + red team</w:t>
            </w:r>
          </w:p>
        </w:tc>
      </w:tr>
      <w:tr>
        <w:tc>
          <w:tcPr>
            <w:tcW w:type="dxa" w:w="3118"/>
          </w:tcPr>
          <w:p>
            <w:pPr>
              <w:spacing w:after="20"/>
            </w:pPr>
            <w:r/>
            <w:r>
              <w:rPr>
                <w:b/>
                <w:sz w:val="16"/>
              </w:rPr>
              <w:t>KRI monitoring</w:t>
            </w:r>
          </w:p>
        </w:tc>
        <w:tc>
          <w:tcPr>
            <w:tcW w:type="dxa" w:w="1304"/>
          </w:tcPr>
          <w:p>
            <w:pPr>
              <w:spacing w:after="20"/>
            </w:pPr>
            <w:r/>
            <w:r>
              <w:rPr>
                <w:sz w:val="16"/>
              </w:rPr>
              <w:t>-</w:t>
            </w:r>
          </w:p>
        </w:tc>
        <w:tc>
          <w:tcPr>
            <w:tcW w:type="dxa" w:w="1644"/>
          </w:tcPr>
          <w:p>
            <w:pPr>
              <w:spacing w:after="20"/>
            </w:pPr>
            <w:r/>
            <w:r>
              <w:rPr>
                <w:sz w:val="16"/>
              </w:rPr>
              <w:t>Periodic</w:t>
            </w:r>
          </w:p>
        </w:tc>
        <w:tc>
          <w:tcPr>
            <w:tcW w:type="dxa" w:w="1701"/>
          </w:tcPr>
          <w:p>
            <w:pPr>
              <w:spacing w:after="20"/>
            </w:pPr>
            <w:r/>
            <w:r>
              <w:rPr>
                <w:sz w:val="16"/>
              </w:rPr>
              <w:t>Continuous</w:t>
            </w:r>
          </w:p>
        </w:tc>
        <w:tc>
          <w:tcPr>
            <w:tcW w:type="dxa" w:w="1871"/>
          </w:tcPr>
          <w:p>
            <w:pPr>
              <w:spacing w:after="20"/>
            </w:pPr>
            <w:r/>
            <w:r>
              <w:rPr>
                <w:sz w:val="16"/>
              </w:rPr>
              <w:t>Continuous + real-time alerting</w:t>
            </w:r>
          </w:p>
        </w:tc>
      </w:tr>
      <w:tr>
        <w:tc>
          <w:tcPr>
            <w:tcW w:type="dxa" w:w="3118"/>
            <w:shd w:val="clear" w:color="auto" w:fill="F7F4FB"/>
          </w:tcPr>
          <w:p>
            <w:pPr>
              <w:spacing w:after="20"/>
            </w:pPr>
            <w:r/>
            <w:r>
              <w:rPr>
                <w:b/>
                <w:sz w:val="16"/>
              </w:rPr>
              <w:t>Re-assessment</w:t>
            </w:r>
          </w:p>
        </w:tc>
        <w:tc>
          <w:tcPr>
            <w:tcW w:type="dxa" w:w="1304"/>
            <w:shd w:val="clear" w:color="auto" w:fill="F7F4FB"/>
          </w:tcPr>
          <w:p>
            <w:pPr>
              <w:spacing w:after="20"/>
            </w:pPr>
            <w:r/>
            <w:r>
              <w:rPr>
                <w:sz w:val="16"/>
              </w:rPr>
              <w:t>24 months</w:t>
            </w:r>
          </w:p>
        </w:tc>
        <w:tc>
          <w:tcPr>
            <w:tcW w:type="dxa" w:w="1644"/>
            <w:shd w:val="clear" w:color="auto" w:fill="F7F4FB"/>
          </w:tcPr>
          <w:p>
            <w:pPr>
              <w:spacing w:after="20"/>
            </w:pPr>
            <w:r/>
            <w:r>
              <w:rPr>
                <w:sz w:val="16"/>
              </w:rPr>
              <w:t>12 months</w:t>
            </w:r>
          </w:p>
        </w:tc>
        <w:tc>
          <w:tcPr>
            <w:tcW w:type="dxa" w:w="1701"/>
            <w:shd w:val="clear" w:color="auto" w:fill="F7F4FB"/>
          </w:tcPr>
          <w:p>
            <w:pPr>
              <w:spacing w:after="20"/>
            </w:pPr>
            <w:r/>
            <w:r>
              <w:rPr>
                <w:sz w:val="16"/>
              </w:rPr>
              <w:t>6 months</w:t>
            </w:r>
          </w:p>
        </w:tc>
        <w:tc>
          <w:tcPr>
            <w:tcW w:type="dxa" w:w="1871"/>
            <w:shd w:val="clear" w:color="auto" w:fill="F7F4FB"/>
          </w:tcPr>
          <w:p>
            <w:pPr>
              <w:spacing w:after="20"/>
            </w:pPr>
            <w:r/>
            <w:r>
              <w:rPr>
                <w:sz w:val="16"/>
              </w:rPr>
              <w:t>Quarterly</w:t>
            </w:r>
          </w:p>
        </w:tc>
      </w:tr>
    </w:tbl>
    <w:p>
      <w:pPr>
        <w:spacing w:after="40"/>
      </w:pPr>
    </w:p>
    <w:p>
      <w:pPr>
        <w:pStyle w:val="Heading1"/>
      </w:pPr>
      <w:r>
        <w:t>9. Integration with the GT AI GRC toolset</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835"/>
        <w:gridCol w:w="6803"/>
      </w:tblGrid>
      <w:tr>
        <w:trPr>
          <w:tblHeader w:val="true"/>
        </w:trPr>
        <w:tc>
          <w:tcPr>
            <w:tcW w:type="dxa" w:w="2835"/>
            <w:shd w:val="clear" w:color="auto" w:fill="4F2D7F"/>
            <w:vAlign w:val="center"/>
          </w:tcPr>
          <w:p>
            <w:r/>
            <w:r>
              <w:rPr>
                <w:b/>
                <w:color w:val="FFFFFF"/>
                <w:sz w:val="17"/>
              </w:rPr>
              <w:t>Artefact</w:t>
            </w:r>
          </w:p>
        </w:tc>
        <w:tc>
          <w:tcPr>
            <w:tcW w:type="dxa" w:w="6803"/>
            <w:shd w:val="clear" w:color="auto" w:fill="4F2D7F"/>
            <w:vAlign w:val="center"/>
          </w:tcPr>
          <w:p>
            <w:r/>
            <w:r>
              <w:rPr>
                <w:b/>
                <w:color w:val="FFFFFF"/>
                <w:sz w:val="17"/>
              </w:rPr>
              <w:t>Relationship to this framework</w:t>
            </w:r>
          </w:p>
        </w:tc>
      </w:tr>
      <w:tr>
        <w:tc>
          <w:tcPr>
            <w:tcW w:type="dxa" w:w="2835"/>
          </w:tcPr>
          <w:p>
            <w:pPr>
              <w:spacing w:after="20"/>
            </w:pPr>
            <w:r/>
            <w:r>
              <w:rPr>
                <w:b/>
                <w:sz w:val="17"/>
              </w:rPr>
              <w:t>GT AI Readiness Assessment Tool</w:t>
            </w:r>
          </w:p>
        </w:tc>
        <w:tc>
          <w:tcPr>
            <w:tcW w:type="dxa" w:w="6803"/>
          </w:tcPr>
          <w:p>
            <w:pPr>
              <w:spacing w:after="20"/>
            </w:pPr>
            <w:r/>
            <w:r>
              <w:rPr>
                <w:sz w:val="17"/>
              </w:rPr>
              <w:t>Organisation-level: identifies capability gaps (e.g., missing inventory, weak monitoring) that increase likelihood ratings across use cases; its inherent-risk questions reuse the tiering factors T1-T3.</w:t>
            </w:r>
          </w:p>
        </w:tc>
      </w:tr>
      <w:tr>
        <w:tc>
          <w:tcPr>
            <w:tcW w:type="dxa" w:w="2835"/>
            <w:shd w:val="clear" w:color="auto" w:fill="F7F4FB"/>
          </w:tcPr>
          <w:p>
            <w:pPr>
              <w:spacing w:after="20"/>
            </w:pPr>
            <w:r/>
            <w:r>
              <w:rPr>
                <w:b/>
                <w:sz w:val="17"/>
              </w:rPr>
              <w:t>GT AI Ready7</w:t>
            </w:r>
          </w:p>
        </w:tc>
        <w:tc>
          <w:tcPr>
            <w:tcW w:type="dxa" w:w="6803"/>
            <w:shd w:val="clear" w:color="auto" w:fill="F7F4FB"/>
          </w:tcPr>
          <w:p>
            <w:pPr>
              <w:spacing w:after="20"/>
            </w:pPr>
            <w:r/>
            <w:r>
              <w:rPr>
                <w:sz w:val="17"/>
              </w:rPr>
              <w:t>Pillar maturity scores inform control-effectiveness ratings (e.g., Protect AI Systems maturity informs security controls).</w:t>
            </w:r>
          </w:p>
        </w:tc>
      </w:tr>
      <w:tr>
        <w:tc>
          <w:tcPr>
            <w:tcW w:type="dxa" w:w="2835"/>
          </w:tcPr>
          <w:p>
            <w:pPr>
              <w:spacing w:after="20"/>
            </w:pPr>
            <w:r/>
            <w:r>
              <w:rPr>
                <w:b/>
                <w:sz w:val="17"/>
              </w:rPr>
              <w:t>GT AI RCM v2.1</w:t>
            </w:r>
          </w:p>
        </w:tc>
        <w:tc>
          <w:tcPr>
            <w:tcW w:type="dxa" w:w="6803"/>
          </w:tcPr>
          <w:p>
            <w:pPr>
              <w:spacing w:after="20"/>
            </w:pPr>
            <w:r/>
            <w:r>
              <w:rPr>
                <w:sz w:val="17"/>
              </w:rPr>
              <w:t>Control library for treatment; the taxonomy maps each risk to control IDs; control test results inform effectiveness ratings.</w:t>
            </w:r>
          </w:p>
        </w:tc>
      </w:tr>
      <w:tr>
        <w:tc>
          <w:tcPr>
            <w:tcW w:type="dxa" w:w="2835"/>
            <w:shd w:val="clear" w:color="auto" w:fill="F7F4FB"/>
          </w:tcPr>
          <w:p>
            <w:pPr>
              <w:spacing w:after="20"/>
            </w:pPr>
            <w:r/>
            <w:r>
              <w:rPr>
                <w:b/>
                <w:sz w:val="17"/>
              </w:rPr>
              <w:t>AI register (RCM GL-8)</w:t>
            </w:r>
          </w:p>
        </w:tc>
        <w:tc>
          <w:tcPr>
            <w:tcW w:type="dxa" w:w="6803"/>
            <w:shd w:val="clear" w:color="auto" w:fill="F7F4FB"/>
          </w:tcPr>
          <w:p>
            <w:pPr>
              <w:spacing w:after="20"/>
            </w:pPr>
            <w:r/>
            <w:r>
              <w:rPr>
                <w:sz w:val="17"/>
              </w:rPr>
              <w:t>Records tier, residual rating, approval and next review date for every AI system.</w:t>
            </w:r>
          </w:p>
        </w:tc>
      </w:tr>
      <w:tr>
        <w:tc>
          <w:tcPr>
            <w:tcW w:type="dxa" w:w="2835"/>
          </w:tcPr>
          <w:p>
            <w:pPr>
              <w:spacing w:after="20"/>
            </w:pPr>
            <w:r/>
            <w:r>
              <w:rPr>
                <w:b/>
                <w:sz w:val="17"/>
              </w:rPr>
              <w:t>Enterprise risk register</w:t>
            </w:r>
          </w:p>
        </w:tc>
        <w:tc>
          <w:tcPr>
            <w:tcW w:type="dxa" w:w="6803"/>
          </w:tcPr>
          <w:p>
            <w:pPr>
              <w:spacing w:after="20"/>
            </w:pPr>
            <w:r/>
            <w:r>
              <w:rPr>
                <w:sz w:val="17"/>
              </w:rPr>
              <w:t>High and Critical residual AI risks are escalated into the enterprise risk register using common scales.</w:t>
            </w:r>
          </w:p>
        </w:tc>
      </w:tr>
      <w:tr>
        <w:tc>
          <w:tcPr>
            <w:tcW w:type="dxa" w:w="2835"/>
            <w:shd w:val="clear" w:color="auto" w:fill="F7F4FB"/>
          </w:tcPr>
          <w:p>
            <w:pPr>
              <w:spacing w:after="20"/>
            </w:pPr>
            <w:r/>
            <w:r>
              <w:rPr>
                <w:b/>
                <w:sz w:val="17"/>
              </w:rPr>
              <w:t>ISO/IEC 42001 AIMS</w:t>
            </w:r>
          </w:p>
        </w:tc>
        <w:tc>
          <w:tcPr>
            <w:tcW w:type="dxa" w:w="6803"/>
            <w:shd w:val="clear" w:color="auto" w:fill="F7F4FB"/>
          </w:tcPr>
          <w:p>
            <w:pPr>
              <w:spacing w:after="20"/>
            </w:pPr>
            <w:r/>
            <w:r>
              <w:rPr>
                <w:sz w:val="17"/>
              </w:rPr>
              <w:t>Framework outputs constitute the documented information required by clauses 6.1.2-6.1.4 and 8.2-8.4.</w:t>
            </w:r>
          </w:p>
        </w:tc>
      </w:tr>
    </w:tbl>
    <w:p>
      <w:pPr>
        <w:spacing w:after="40"/>
      </w:pPr>
    </w:p>
    <w:p>
      <w:pPr>
        <w:pStyle w:val="Heading1"/>
      </w:pPr>
      <w:r>
        <w:t>10. Worked example (summary)</w:t>
      </w:r>
    </w:p>
    <w:p>
      <w:r>
        <w:rPr>
          <w:b w:val="0"/>
          <w:i w:val="0"/>
        </w:rPr>
        <w:t>Use case: agentic GenAI customer-service assistant ('Ask Aya') for a CBB-licensed retail bank, answering product questions in Arabic and English and performing low-value servicing actions (card freeze, statement requests, standing-order changes up to BHD 500) through core-banking APIs. The full example is provided in the toolkit (Worked Example file).</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701"/>
        <w:gridCol w:w="7937"/>
      </w:tblGrid>
      <w:tr>
        <w:trPr>
          <w:tblHeader w:val="true"/>
        </w:trPr>
        <w:tc>
          <w:tcPr>
            <w:tcW w:type="dxa" w:w="1701"/>
            <w:shd w:val="clear" w:color="auto" w:fill="4F2D7F"/>
            <w:vAlign w:val="center"/>
          </w:tcPr>
          <w:p>
            <w:r/>
            <w:r>
              <w:rPr>
                <w:b/>
                <w:color w:val="FFFFFF"/>
                <w:sz w:val="17"/>
              </w:rPr>
              <w:t>Stage</w:t>
            </w:r>
          </w:p>
        </w:tc>
        <w:tc>
          <w:tcPr>
            <w:tcW w:type="dxa" w:w="7937"/>
            <w:shd w:val="clear" w:color="auto" w:fill="4F2D7F"/>
            <w:vAlign w:val="center"/>
          </w:tcPr>
          <w:p>
            <w:r/>
            <w:r>
              <w:rPr>
                <w:b/>
                <w:color w:val="FFFFFF"/>
                <w:sz w:val="17"/>
              </w:rPr>
              <w:t>Outcome</w:t>
            </w:r>
          </w:p>
        </w:tc>
      </w:tr>
      <w:tr>
        <w:tc>
          <w:tcPr>
            <w:tcW w:type="dxa" w:w="1701"/>
          </w:tcPr>
          <w:p>
            <w:pPr>
              <w:spacing w:after="20"/>
            </w:pPr>
            <w:r/>
            <w:r>
              <w:rPr>
                <w:b/>
                <w:sz w:val="17"/>
              </w:rPr>
              <w:t>Screening</w:t>
            </w:r>
          </w:p>
        </w:tc>
        <w:tc>
          <w:tcPr>
            <w:tcW w:type="dxa" w:w="7937"/>
          </w:tcPr>
          <w:p>
            <w:pPr>
              <w:spacing w:after="20"/>
            </w:pPr>
            <w:r/>
            <w:r>
              <w:rPr>
                <w:sz w:val="17"/>
              </w:rPr>
              <w:t>No prohibited practice identified.</w:t>
            </w:r>
          </w:p>
        </w:tc>
      </w:tr>
      <w:tr>
        <w:tc>
          <w:tcPr>
            <w:tcW w:type="dxa" w:w="1701"/>
            <w:shd w:val="clear" w:color="auto" w:fill="F7F4FB"/>
          </w:tcPr>
          <w:p>
            <w:pPr>
              <w:spacing w:after="20"/>
            </w:pPr>
            <w:r/>
            <w:r>
              <w:rPr>
                <w:b/>
                <w:sz w:val="17"/>
              </w:rPr>
              <w:t>Tiering</w:t>
            </w:r>
          </w:p>
        </w:tc>
        <w:tc>
          <w:tcPr>
            <w:tcW w:type="dxa" w:w="7937"/>
            <w:shd w:val="clear" w:color="auto" w:fill="F7F4FB"/>
          </w:tcPr>
          <w:p>
            <w:pPr>
              <w:spacing w:after="20"/>
            </w:pPr>
            <w:r/>
            <w:r>
              <w:rPr>
                <w:sz w:val="17"/>
              </w:rPr>
              <w:t>Weighted score 74 / 100 - tier HIGH (drivers: autonomy of actions, sensitive financial personal data, customer-facing agentic GenAI, vulnerable customers). Approval: AI Committee; six-monthly review.</w:t>
            </w:r>
          </w:p>
        </w:tc>
      </w:tr>
      <w:tr>
        <w:tc>
          <w:tcPr>
            <w:tcW w:type="dxa" w:w="1701"/>
          </w:tcPr>
          <w:p>
            <w:pPr>
              <w:spacing w:after="20"/>
            </w:pPr>
            <w:r/>
            <w:r>
              <w:rPr>
                <w:b/>
                <w:sz w:val="17"/>
              </w:rPr>
              <w:t>Identification</w:t>
            </w:r>
          </w:p>
        </w:tc>
        <w:tc>
          <w:tcPr>
            <w:tcW w:type="dxa" w:w="7937"/>
          </w:tcPr>
          <w:p>
            <w:pPr>
              <w:spacing w:after="20"/>
            </w:pPr>
            <w:r/>
            <w:r>
              <w:rPr>
                <w:sz w:val="17"/>
              </w:rPr>
              <w:t>18 applicable taxonomy risks (incl. agent memory leakage and kill-switch risks); ISO/IEC 42005 impact assessment, DPIA and the agent section of the GT AI Security &amp; Agent Audit Checklist required.</w:t>
            </w:r>
          </w:p>
        </w:tc>
      </w:tr>
      <w:tr>
        <w:tc>
          <w:tcPr>
            <w:tcW w:type="dxa" w:w="1701"/>
            <w:shd w:val="clear" w:color="auto" w:fill="F7F4FB"/>
          </w:tcPr>
          <w:p>
            <w:pPr>
              <w:spacing w:after="20"/>
            </w:pPr>
            <w:r/>
            <w:r>
              <w:rPr>
                <w:b/>
                <w:sz w:val="17"/>
              </w:rPr>
              <w:t>Analysis</w:t>
            </w:r>
          </w:p>
        </w:tc>
        <w:tc>
          <w:tcPr>
            <w:tcW w:type="dxa" w:w="7937"/>
            <w:shd w:val="clear" w:color="auto" w:fill="F7F4FB"/>
          </w:tcPr>
          <w:p>
            <w:pPr>
              <w:spacing w:after="20"/>
            </w:pPr>
            <w:r/>
            <w:r>
              <w:rPr>
                <w:sz w:val="17"/>
              </w:rPr>
              <w:t>Highest inherent risks: prompt injection (16), data leakage (16), unbounded agent actions (15), insecure integration / excessive privilege (15).</w:t>
            </w:r>
          </w:p>
        </w:tc>
      </w:tr>
      <w:tr>
        <w:tc>
          <w:tcPr>
            <w:tcW w:type="dxa" w:w="1701"/>
          </w:tcPr>
          <w:p>
            <w:pPr>
              <w:spacing w:after="20"/>
            </w:pPr>
            <w:r/>
            <w:r>
              <w:rPr>
                <w:b/>
                <w:sz w:val="17"/>
              </w:rPr>
              <w:t>Evaluation</w:t>
            </w:r>
          </w:p>
        </w:tc>
        <w:tc>
          <w:tcPr>
            <w:tcW w:type="dxa" w:w="7937"/>
          </w:tcPr>
          <w:p>
            <w:pPr>
              <w:spacing w:after="20"/>
            </w:pPr>
            <w:r/>
            <w:r>
              <w:rPr>
                <w:sz w:val="17"/>
              </w:rPr>
              <w:t>4 residual High risks outside appetite before treatment (SEC-01, PRI-02, HUM-03, SEC-04).</w:t>
            </w:r>
          </w:p>
        </w:tc>
      </w:tr>
      <w:tr>
        <w:tc>
          <w:tcPr>
            <w:tcW w:type="dxa" w:w="1701"/>
            <w:shd w:val="clear" w:color="auto" w:fill="F7F4FB"/>
          </w:tcPr>
          <w:p>
            <w:pPr>
              <w:spacing w:after="20"/>
            </w:pPr>
            <w:r/>
            <w:r>
              <w:rPr>
                <w:b/>
                <w:sz w:val="17"/>
              </w:rPr>
              <w:t>Treatment</w:t>
            </w:r>
          </w:p>
        </w:tc>
        <w:tc>
          <w:tcPr>
            <w:tcW w:type="dxa" w:w="7937"/>
            <w:shd w:val="clear" w:color="auto" w:fill="F7F4FB"/>
          </w:tcPr>
          <w:p>
            <w:pPr>
              <w:spacing w:after="20"/>
            </w:pPr>
            <w:r/>
            <w:r>
              <w:rPr>
                <w:sz w:val="17"/>
              </w:rPr>
              <w:t>PII redaction and no-training vendor clauses; prompt-injection filters and content separation; scoped OAuth tokens and BHD 500 limit; human approval for standing-order changes; kill-switch; OWASP red-team before launch; Art. 50 disclosure.</w:t>
            </w:r>
          </w:p>
        </w:tc>
      </w:tr>
      <w:tr>
        <w:tc>
          <w:tcPr>
            <w:tcW w:type="dxa" w:w="1701"/>
          </w:tcPr>
          <w:p>
            <w:pPr>
              <w:spacing w:after="20"/>
            </w:pPr>
            <w:r/>
            <w:r>
              <w:rPr>
                <w:b/>
                <w:sz w:val="17"/>
              </w:rPr>
              <w:t>Monitoring</w:t>
            </w:r>
          </w:p>
        </w:tc>
        <w:tc>
          <w:tcPr>
            <w:tcW w:type="dxa" w:w="7937"/>
          </w:tcPr>
          <w:p>
            <w:pPr>
              <w:spacing w:after="20"/>
            </w:pPr>
            <w:r/>
            <w:r>
              <w:rPr>
                <w:sz w:val="17"/>
              </w:rPr>
              <w:t>KRIs: blocked injection attempts, DLP events, hallucination rate from weekly QA sampling, agent actions without approval, AI-related complaints.</w:t>
            </w:r>
          </w:p>
        </w:tc>
      </w:tr>
    </w:tbl>
    <w:p>
      <w:pPr>
        <w:spacing w:after="40"/>
      </w:pPr>
    </w:p>
    <w:p>
      <w:pPr>
        <w:pStyle w:val="Heading1"/>
      </w:pPr>
      <w:r>
        <w:t>Appendix A - Risk register fields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3402"/>
        <w:gridCol w:w="6236"/>
      </w:tblGrid>
      <w:tr>
        <w:trPr>
          <w:tblHeader w:val="true"/>
        </w:trPr>
        <w:tc>
          <w:tcPr>
            <w:tcW w:type="dxa" w:w="3402"/>
            <w:shd w:val="clear" w:color="auto" w:fill="4F2D7F"/>
            <w:vAlign w:val="center"/>
          </w:tcPr>
          <w:p>
            <w:r/>
            <w:r>
              <w:rPr>
                <w:b/>
                <w:color w:val="FFFFFF"/>
                <w:sz w:val="17"/>
              </w:rPr>
              <w:t>Field</w:t>
            </w:r>
          </w:p>
        </w:tc>
        <w:tc>
          <w:tcPr>
            <w:tcW w:type="dxa" w:w="6236"/>
            <w:shd w:val="clear" w:color="auto" w:fill="4F2D7F"/>
            <w:vAlign w:val="center"/>
          </w:tcPr>
          <w:p>
            <w:r/>
            <w:r>
              <w:rPr>
                <w:b/>
                <w:color w:val="FFFFFF"/>
                <w:sz w:val="17"/>
              </w:rPr>
              <w:t>Description</w:t>
            </w:r>
          </w:p>
        </w:tc>
      </w:tr>
      <w:tr>
        <w:tc>
          <w:tcPr>
            <w:tcW w:type="dxa" w:w="3402"/>
          </w:tcPr>
          <w:p>
            <w:pPr>
              <w:spacing w:after="20"/>
            </w:pPr>
            <w:r/>
            <w:r>
              <w:rPr>
                <w:b/>
                <w:sz w:val="17"/>
              </w:rPr>
              <w:t>Risk ID / category / title</w:t>
            </w:r>
          </w:p>
        </w:tc>
        <w:tc>
          <w:tcPr>
            <w:tcW w:type="dxa" w:w="6236"/>
          </w:tcPr>
          <w:p>
            <w:pPr>
              <w:spacing w:after="20"/>
            </w:pPr>
            <w:r/>
            <w:r>
              <w:rPr>
                <w:sz w:val="17"/>
              </w:rPr>
              <w:t>From the taxonomy or bespoke (BSP-nn)</w:t>
            </w:r>
          </w:p>
        </w:tc>
      </w:tr>
      <w:tr>
        <w:tc>
          <w:tcPr>
            <w:tcW w:type="dxa" w:w="3402"/>
            <w:shd w:val="clear" w:color="auto" w:fill="F7F4FB"/>
          </w:tcPr>
          <w:p>
            <w:pPr>
              <w:spacing w:after="20"/>
            </w:pPr>
            <w:r/>
            <w:r>
              <w:rPr>
                <w:b/>
                <w:sz w:val="17"/>
              </w:rPr>
              <w:t>Scenario</w:t>
            </w:r>
          </w:p>
        </w:tc>
        <w:tc>
          <w:tcPr>
            <w:tcW w:type="dxa" w:w="6236"/>
            <w:shd w:val="clear" w:color="auto" w:fill="F7F4FB"/>
          </w:tcPr>
          <w:p>
            <w:pPr>
              <w:spacing w:after="20"/>
            </w:pPr>
            <w:r/>
            <w:r>
              <w:rPr>
                <w:sz w:val="17"/>
              </w:rPr>
              <w:t>Cause -&gt; event -&gt; consequence, specific to the use case</w:t>
            </w:r>
          </w:p>
        </w:tc>
      </w:tr>
      <w:tr>
        <w:tc>
          <w:tcPr>
            <w:tcW w:type="dxa" w:w="3402"/>
          </w:tcPr>
          <w:p>
            <w:pPr>
              <w:spacing w:after="20"/>
            </w:pPr>
            <w:r/>
            <w:r>
              <w:rPr>
                <w:b/>
                <w:sz w:val="17"/>
              </w:rPr>
              <w:t>Inherent likelihood / impact / score / rating</w:t>
            </w:r>
          </w:p>
        </w:tc>
        <w:tc>
          <w:tcPr>
            <w:tcW w:type="dxa" w:w="6236"/>
          </w:tcPr>
          <w:p>
            <w:pPr>
              <w:spacing w:after="20"/>
            </w:pPr>
            <w:r/>
            <w:r>
              <w:rPr>
                <w:sz w:val="17"/>
              </w:rPr>
              <w:t>Before controls; 1-5 scales; score 1-25</w:t>
            </w:r>
          </w:p>
        </w:tc>
      </w:tr>
      <w:tr>
        <w:tc>
          <w:tcPr>
            <w:tcW w:type="dxa" w:w="3402"/>
            <w:shd w:val="clear" w:color="auto" w:fill="F7F4FB"/>
          </w:tcPr>
          <w:p>
            <w:pPr>
              <w:spacing w:after="20"/>
            </w:pPr>
            <w:r/>
            <w:r>
              <w:rPr>
                <w:b/>
                <w:sz w:val="17"/>
              </w:rPr>
              <w:t>Existing / required controls</w:t>
            </w:r>
          </w:p>
        </w:tc>
        <w:tc>
          <w:tcPr>
            <w:tcW w:type="dxa" w:w="6236"/>
            <w:shd w:val="clear" w:color="auto" w:fill="F7F4FB"/>
          </w:tcPr>
          <w:p>
            <w:pPr>
              <w:spacing w:after="20"/>
            </w:pPr>
            <w:r/>
            <w:r>
              <w:rPr>
                <w:sz w:val="17"/>
              </w:rPr>
              <w:t>RCM v2.1 control IDs</w:t>
            </w:r>
          </w:p>
        </w:tc>
      </w:tr>
      <w:tr>
        <w:tc>
          <w:tcPr>
            <w:tcW w:type="dxa" w:w="3402"/>
          </w:tcPr>
          <w:p>
            <w:pPr>
              <w:spacing w:after="20"/>
            </w:pPr>
            <w:r/>
            <w:r>
              <w:rPr>
                <w:b/>
                <w:sz w:val="17"/>
              </w:rPr>
              <w:t>Control effectiveness</w:t>
            </w:r>
          </w:p>
        </w:tc>
        <w:tc>
          <w:tcPr>
            <w:tcW w:type="dxa" w:w="6236"/>
          </w:tcPr>
          <w:p>
            <w:pPr>
              <w:spacing w:after="20"/>
            </w:pPr>
            <w:r/>
            <w:r>
              <w:rPr>
                <w:sz w:val="17"/>
              </w:rPr>
              <w:t>Strong / Satisfactory / Needs improvement / Weak-None</w:t>
            </w:r>
          </w:p>
        </w:tc>
      </w:tr>
      <w:tr>
        <w:tc>
          <w:tcPr>
            <w:tcW w:type="dxa" w:w="3402"/>
            <w:shd w:val="clear" w:color="auto" w:fill="F7F4FB"/>
          </w:tcPr>
          <w:p>
            <w:pPr>
              <w:spacing w:after="20"/>
            </w:pPr>
            <w:r/>
            <w:r>
              <w:rPr>
                <w:b/>
                <w:sz w:val="17"/>
              </w:rPr>
              <w:t>Residual score / rating / within appetite</w:t>
            </w:r>
          </w:p>
        </w:tc>
        <w:tc>
          <w:tcPr>
            <w:tcW w:type="dxa" w:w="6236"/>
            <w:shd w:val="clear" w:color="auto" w:fill="F7F4FB"/>
          </w:tcPr>
          <w:p>
            <w:pPr>
              <w:spacing w:after="20"/>
            </w:pPr>
            <w:r/>
            <w:r>
              <w:rPr>
                <w:sz w:val="17"/>
              </w:rPr>
              <w:t>Inherent x effectiveness factor</w:t>
            </w:r>
          </w:p>
        </w:tc>
      </w:tr>
      <w:tr>
        <w:tc>
          <w:tcPr>
            <w:tcW w:type="dxa" w:w="3402"/>
          </w:tcPr>
          <w:p>
            <w:pPr>
              <w:spacing w:after="20"/>
            </w:pPr>
            <w:r/>
            <w:r>
              <w:rPr>
                <w:b/>
                <w:sz w:val="17"/>
              </w:rPr>
              <w:t>Treatment option &amp; actions</w:t>
            </w:r>
          </w:p>
        </w:tc>
        <w:tc>
          <w:tcPr>
            <w:tcW w:type="dxa" w:w="6236"/>
          </w:tcPr>
          <w:p>
            <w:pPr>
              <w:spacing w:after="20"/>
            </w:pPr>
            <w:r/>
            <w:r>
              <w:rPr>
                <w:sz w:val="17"/>
              </w:rPr>
              <w:t>Avoid / Mitigate / Transfer / Accept; specific actions</w:t>
            </w:r>
          </w:p>
        </w:tc>
      </w:tr>
      <w:tr>
        <w:tc>
          <w:tcPr>
            <w:tcW w:type="dxa" w:w="3402"/>
            <w:shd w:val="clear" w:color="auto" w:fill="F7F4FB"/>
          </w:tcPr>
          <w:p>
            <w:pPr>
              <w:spacing w:after="20"/>
            </w:pPr>
            <w:r/>
            <w:r>
              <w:rPr>
                <w:b/>
                <w:sz w:val="17"/>
              </w:rPr>
              <w:t>Owner, due date, status</w:t>
            </w:r>
          </w:p>
        </w:tc>
        <w:tc>
          <w:tcPr>
            <w:tcW w:type="dxa" w:w="6236"/>
            <w:shd w:val="clear" w:color="auto" w:fill="F7F4FB"/>
          </w:tcPr>
          <w:p>
            <w:pPr>
              <w:spacing w:after="20"/>
            </w:pPr>
            <w:r/>
            <w:r>
              <w:rPr>
                <w:sz w:val="17"/>
              </w:rPr>
              <w:t>Accountable individual and tracking</w:t>
            </w:r>
          </w:p>
        </w:tc>
      </w:tr>
      <w:tr>
        <w:tc>
          <w:tcPr>
            <w:tcW w:type="dxa" w:w="3402"/>
          </w:tcPr>
          <w:p>
            <w:pPr>
              <w:spacing w:after="20"/>
            </w:pPr>
            <w:r/>
            <w:r>
              <w:rPr>
                <w:b/>
                <w:sz w:val="17"/>
              </w:rPr>
              <w:t>KRI</w:t>
            </w:r>
          </w:p>
        </w:tc>
        <w:tc>
          <w:tcPr>
            <w:tcW w:type="dxa" w:w="6236"/>
          </w:tcPr>
          <w:p>
            <w:pPr>
              <w:spacing w:after="20"/>
            </w:pPr>
            <w:r/>
            <w:r>
              <w:rPr>
                <w:sz w:val="17"/>
              </w:rPr>
              <w:t>Indicator, threshold and response</w:t>
            </w:r>
          </w:p>
        </w:tc>
      </w:tr>
    </w:tbl>
    <w:p>
      <w:pPr>
        <w:spacing w:after="40"/>
      </w:pPr>
    </w:p>
    <w:p>
      <w:pPr>
        <w:pStyle w:val="Heading1"/>
      </w:pPr>
      <w:r>
        <w:t>Appendix B - Glossary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551"/>
        <w:gridCol w:w="7087"/>
      </w:tblGrid>
      <w:tr>
        <w:trPr>
          <w:tblHeader w:val="true"/>
        </w:trPr>
        <w:tc>
          <w:tcPr>
            <w:tcW w:type="dxa" w:w="2551"/>
            <w:shd w:val="clear" w:color="auto" w:fill="4F2D7F"/>
            <w:vAlign w:val="center"/>
          </w:tcPr>
          <w:p>
            <w:r/>
            <w:r>
              <w:rPr>
                <w:b/>
                <w:color w:val="FFFFFF"/>
                <w:sz w:val="17"/>
              </w:rPr>
              <w:t>Term</w:t>
            </w:r>
          </w:p>
        </w:tc>
        <w:tc>
          <w:tcPr>
            <w:tcW w:type="dxa" w:w="7087"/>
            <w:shd w:val="clear" w:color="auto" w:fill="4F2D7F"/>
            <w:vAlign w:val="center"/>
          </w:tcPr>
          <w:p>
            <w:r/>
            <w:r>
              <w:rPr>
                <w:b/>
                <w:color w:val="FFFFFF"/>
                <w:sz w:val="17"/>
              </w:rPr>
              <w:t>Definition</w:t>
            </w:r>
          </w:p>
        </w:tc>
      </w:tr>
      <w:tr>
        <w:tc>
          <w:tcPr>
            <w:tcW w:type="dxa" w:w="2551"/>
          </w:tcPr>
          <w:p>
            <w:pPr>
              <w:spacing w:after="20"/>
            </w:pPr>
            <w:r/>
            <w:r>
              <w:rPr>
                <w:b/>
                <w:sz w:val="17"/>
              </w:rPr>
              <w:t>AI system</w:t>
            </w:r>
          </w:p>
        </w:tc>
        <w:tc>
          <w:tcPr>
            <w:tcW w:type="dxa" w:w="7087"/>
          </w:tcPr>
          <w:p>
            <w:pPr>
              <w:spacing w:after="20"/>
            </w:pPr>
            <w:r/>
            <w:r>
              <w:rPr>
                <w:sz w:val="17"/>
              </w:rPr>
              <w:t>Machine-based system that infers from inputs how to generate outputs such as predictions, content, recommendations or decisions (OECD / EU AI Act Art. 3(1)).</w:t>
            </w:r>
          </w:p>
        </w:tc>
      </w:tr>
      <w:tr>
        <w:tc>
          <w:tcPr>
            <w:tcW w:type="dxa" w:w="2551"/>
            <w:shd w:val="clear" w:color="auto" w:fill="F7F4FB"/>
          </w:tcPr>
          <w:p>
            <w:pPr>
              <w:spacing w:after="20"/>
            </w:pPr>
            <w:r/>
            <w:r>
              <w:rPr>
                <w:b/>
                <w:sz w:val="17"/>
              </w:rPr>
              <w:t>Provider / deployer</w:t>
            </w:r>
          </w:p>
        </w:tc>
        <w:tc>
          <w:tcPr>
            <w:tcW w:type="dxa" w:w="7087"/>
            <w:shd w:val="clear" w:color="auto" w:fill="F7F4FB"/>
          </w:tcPr>
          <w:p>
            <w:pPr>
              <w:spacing w:after="20"/>
            </w:pPr>
            <w:r/>
            <w:r>
              <w:rPr>
                <w:sz w:val="17"/>
              </w:rPr>
              <w:t>Provider develops an AI system or places it on the market under its name; deployer uses an AI system under its authority (EU AI Act Art. 3).</w:t>
            </w:r>
          </w:p>
        </w:tc>
      </w:tr>
      <w:tr>
        <w:tc>
          <w:tcPr>
            <w:tcW w:type="dxa" w:w="2551"/>
          </w:tcPr>
          <w:p>
            <w:pPr>
              <w:spacing w:after="20"/>
            </w:pPr>
            <w:r/>
            <w:r>
              <w:rPr>
                <w:b/>
                <w:sz w:val="17"/>
              </w:rPr>
              <w:t>General-purpose AI (GPAI) model</w:t>
            </w:r>
          </w:p>
        </w:tc>
        <w:tc>
          <w:tcPr>
            <w:tcW w:type="dxa" w:w="7087"/>
          </w:tcPr>
          <w:p>
            <w:pPr>
              <w:spacing w:after="20"/>
            </w:pPr>
            <w:r/>
            <w:r>
              <w:rPr>
                <w:sz w:val="17"/>
              </w:rPr>
              <w:t>Model displaying significant generality, capable of a wide range of tasks (e.g., large language models).</w:t>
            </w:r>
          </w:p>
        </w:tc>
      </w:tr>
      <w:tr>
        <w:tc>
          <w:tcPr>
            <w:tcW w:type="dxa" w:w="2551"/>
            <w:shd w:val="clear" w:color="auto" w:fill="F7F4FB"/>
          </w:tcPr>
          <w:p>
            <w:pPr>
              <w:spacing w:after="20"/>
            </w:pPr>
            <w:r/>
            <w:r>
              <w:rPr>
                <w:b/>
                <w:sz w:val="17"/>
              </w:rPr>
              <w:t>Agentic AI</w:t>
            </w:r>
          </w:p>
        </w:tc>
        <w:tc>
          <w:tcPr>
            <w:tcW w:type="dxa" w:w="7087"/>
            <w:shd w:val="clear" w:color="auto" w:fill="F7F4FB"/>
          </w:tcPr>
          <w:p>
            <w:pPr>
              <w:spacing w:after="20"/>
            </w:pPr>
            <w:r/>
            <w:r>
              <w:rPr>
                <w:sz w:val="17"/>
              </w:rPr>
              <w:t>AI systems that plan and take actions via tools, APIs or other systems with some autonomy.</w:t>
            </w:r>
          </w:p>
        </w:tc>
      </w:tr>
      <w:tr>
        <w:tc>
          <w:tcPr>
            <w:tcW w:type="dxa" w:w="2551"/>
          </w:tcPr>
          <w:p>
            <w:pPr>
              <w:spacing w:after="20"/>
            </w:pPr>
            <w:r/>
            <w:r>
              <w:rPr>
                <w:b/>
                <w:sz w:val="17"/>
              </w:rPr>
              <w:t>Inherent / residual risk</w:t>
            </w:r>
          </w:p>
        </w:tc>
        <w:tc>
          <w:tcPr>
            <w:tcW w:type="dxa" w:w="7087"/>
          </w:tcPr>
          <w:p>
            <w:pPr>
              <w:spacing w:after="20"/>
            </w:pPr>
            <w:r/>
            <w:r>
              <w:rPr>
                <w:sz w:val="17"/>
              </w:rPr>
              <w:t>Risk before / after considering the effect of existing controls.</w:t>
            </w:r>
          </w:p>
        </w:tc>
      </w:tr>
      <w:tr>
        <w:tc>
          <w:tcPr>
            <w:tcW w:type="dxa" w:w="2551"/>
            <w:shd w:val="clear" w:color="auto" w:fill="F7F4FB"/>
          </w:tcPr>
          <w:p>
            <w:pPr>
              <w:spacing w:after="20"/>
            </w:pPr>
            <w:r/>
            <w:r>
              <w:rPr>
                <w:b/>
                <w:sz w:val="17"/>
              </w:rPr>
              <w:t>FRIA</w:t>
            </w:r>
          </w:p>
        </w:tc>
        <w:tc>
          <w:tcPr>
            <w:tcW w:type="dxa" w:w="7087"/>
            <w:shd w:val="clear" w:color="auto" w:fill="F7F4FB"/>
          </w:tcPr>
          <w:p>
            <w:pPr>
              <w:spacing w:after="20"/>
            </w:pPr>
            <w:r/>
            <w:r>
              <w:rPr>
                <w:sz w:val="17"/>
              </w:rPr>
              <w:t>Fundamental Rights Impact Assessment (EU AI Act Art. 27).</w:t>
            </w:r>
          </w:p>
        </w:tc>
      </w:tr>
      <w:tr>
        <w:tc>
          <w:tcPr>
            <w:tcW w:type="dxa" w:w="2551"/>
          </w:tcPr>
          <w:p>
            <w:pPr>
              <w:spacing w:after="20"/>
            </w:pPr>
            <w:r/>
            <w:r>
              <w:rPr>
                <w:b/>
                <w:sz w:val="17"/>
              </w:rPr>
              <w:t>KRI</w:t>
            </w:r>
          </w:p>
        </w:tc>
        <w:tc>
          <w:tcPr>
            <w:tcW w:type="dxa" w:w="7087"/>
          </w:tcPr>
          <w:p>
            <w:pPr>
              <w:spacing w:after="20"/>
            </w:pPr>
            <w:r/>
            <w:r>
              <w:rPr>
                <w:sz w:val="17"/>
              </w:rPr>
              <w:t>Key risk indicator - metric providing early warning of increasing risk exposure.</w:t>
            </w:r>
          </w:p>
        </w:tc>
      </w:tr>
      <w:tr>
        <w:tc>
          <w:tcPr>
            <w:tcW w:type="dxa" w:w="2551"/>
            <w:shd w:val="clear" w:color="auto" w:fill="F7F4FB"/>
          </w:tcPr>
          <w:p>
            <w:pPr>
              <w:spacing w:after="20"/>
            </w:pPr>
            <w:r/>
            <w:r>
              <w:rPr>
                <w:b/>
                <w:sz w:val="17"/>
              </w:rPr>
              <w:t>Hallucination / confabulation</w:t>
            </w:r>
          </w:p>
        </w:tc>
        <w:tc>
          <w:tcPr>
            <w:tcW w:type="dxa" w:w="7087"/>
            <w:shd w:val="clear" w:color="auto" w:fill="F7F4FB"/>
          </w:tcPr>
          <w:p>
            <w:pPr>
              <w:spacing w:after="20"/>
            </w:pPr>
            <w:r/>
            <w:r>
              <w:rPr>
                <w:sz w:val="17"/>
              </w:rPr>
              <w:t>Generation of plausible but false or unsupported content.</w:t>
            </w:r>
          </w:p>
        </w:tc>
      </w:tr>
      <w:tr>
        <w:tc>
          <w:tcPr>
            <w:tcW w:type="dxa" w:w="2551"/>
          </w:tcPr>
          <w:p>
            <w:pPr>
              <w:spacing w:after="20"/>
            </w:pPr>
            <w:r/>
            <w:r>
              <w:rPr>
                <w:b/>
                <w:sz w:val="17"/>
              </w:rPr>
              <w:t>Prompt injection</w:t>
            </w:r>
          </w:p>
        </w:tc>
        <w:tc>
          <w:tcPr>
            <w:tcW w:type="dxa" w:w="7087"/>
          </w:tcPr>
          <w:p>
            <w:pPr>
              <w:spacing w:after="20"/>
            </w:pPr>
            <w:r/>
            <w:r>
              <w:rPr>
                <w:sz w:val="17"/>
              </w:rPr>
              <w:t>Manipulation of an LLM through crafted input, directly or via content it processes.</w:t>
            </w:r>
          </w:p>
        </w:tc>
      </w:tr>
    </w:tbl>
    <w:p>
      <w:pPr>
        <w:spacing w:after="40"/>
      </w:pPr>
    </w:p>
    <w:p>
      <w:pPr>
        <w:pStyle w:val="Heading1"/>
      </w:pPr>
      <w:r>
        <w:t>Appendix D - Secure-by-default baseline for AI agents</w:t>
      </w:r>
    </w:p>
    <w:p>
      <w:r>
        <w:rPr>
          <w:b w:val="0"/>
          <w:i w:val="0"/>
        </w:rPr>
        <w:t>AI agents ingest untrusted content, reason over enterprise data and act through tools and APIs, which gives them a distinct risk profile. For any use case with agent capabilities (tiering factor T2 &gt;= 3 or T8 = 4), the following baseline, adapted from ISACA's Cybersecurity Recommendations for Securing AI Agents (2026), is a minimum requirement before deployment. Each item maps to GT AI RCM v2.1.</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567"/>
        <w:gridCol w:w="7087"/>
        <w:gridCol w:w="1984"/>
      </w:tblGrid>
      <w:tr>
        <w:trPr>
          <w:tblHeader w:val="true"/>
        </w:trPr>
        <w:tc>
          <w:tcPr>
            <w:tcW w:type="dxa" w:w="567"/>
            <w:shd w:val="clear" w:color="auto" w:fill="4F2D7F"/>
            <w:vAlign w:val="center"/>
          </w:tcPr>
          <w:p>
            <w:r/>
            <w:r>
              <w:rPr>
                <w:b/>
                <w:color w:val="FFFFFF"/>
                <w:sz w:val="17"/>
              </w:rPr>
              <w:t>#</w:t>
            </w:r>
          </w:p>
        </w:tc>
        <w:tc>
          <w:tcPr>
            <w:tcW w:type="dxa" w:w="7087"/>
            <w:shd w:val="clear" w:color="auto" w:fill="4F2D7F"/>
            <w:vAlign w:val="center"/>
          </w:tcPr>
          <w:p>
            <w:r/>
            <w:r>
              <w:rPr>
                <w:b/>
                <w:color w:val="FFFFFF"/>
                <w:sz w:val="17"/>
              </w:rPr>
              <w:t>Baseline requirement</w:t>
            </w:r>
          </w:p>
        </w:tc>
        <w:tc>
          <w:tcPr>
            <w:tcW w:type="dxa" w:w="1984"/>
            <w:shd w:val="clear" w:color="auto" w:fill="4F2D7F"/>
            <w:vAlign w:val="center"/>
          </w:tcPr>
          <w:p>
            <w:r/>
            <w:r>
              <w:rPr>
                <w:b/>
                <w:color w:val="FFFFFF"/>
                <w:sz w:val="17"/>
              </w:rPr>
              <w:t>RCM v2.1</w:t>
            </w:r>
          </w:p>
        </w:tc>
      </w:tr>
      <w:tr>
        <w:tc>
          <w:tcPr>
            <w:tcW w:type="dxa" w:w="567"/>
          </w:tcPr>
          <w:p>
            <w:pPr>
              <w:spacing w:after="20"/>
            </w:pPr>
            <w:r/>
            <w:r>
              <w:rPr>
                <w:sz w:val="17"/>
              </w:rPr>
              <w:t>1</w:t>
            </w:r>
          </w:p>
        </w:tc>
        <w:tc>
          <w:tcPr>
            <w:tcW w:type="dxa" w:w="7087"/>
          </w:tcPr>
          <w:p>
            <w:pPr>
              <w:spacing w:after="20"/>
            </w:pPr>
            <w:r/>
            <w:r>
              <w:rPr>
                <w:sz w:val="17"/>
              </w:rPr>
              <w:t>Inventory all agents, tools, models, memory stores and providers</w:t>
            </w:r>
          </w:p>
        </w:tc>
        <w:tc>
          <w:tcPr>
            <w:tcW w:type="dxa" w:w="1984"/>
          </w:tcPr>
          <w:p>
            <w:pPr>
              <w:spacing w:after="20"/>
            </w:pPr>
            <w:r/>
            <w:r>
              <w:rPr>
                <w:sz w:val="17"/>
              </w:rPr>
              <w:t>GL-8</w:t>
            </w:r>
          </w:p>
        </w:tc>
      </w:tr>
      <w:tr>
        <w:tc>
          <w:tcPr>
            <w:tcW w:type="dxa" w:w="567"/>
            <w:shd w:val="clear" w:color="auto" w:fill="F7F4FB"/>
          </w:tcPr>
          <w:p>
            <w:pPr>
              <w:spacing w:after="20"/>
            </w:pPr>
            <w:r/>
            <w:r>
              <w:rPr>
                <w:sz w:val="17"/>
              </w:rPr>
              <w:t>2</w:t>
            </w:r>
          </w:p>
        </w:tc>
        <w:tc>
          <w:tcPr>
            <w:tcW w:type="dxa" w:w="7087"/>
            <w:shd w:val="clear" w:color="auto" w:fill="F7F4FB"/>
          </w:tcPr>
          <w:p>
            <w:pPr>
              <w:spacing w:after="20"/>
            </w:pPr>
            <w:r/>
            <w:r>
              <w:rPr>
                <w:sz w:val="17"/>
              </w:rPr>
              <w:t>Define trust boundaries and control owners</w:t>
            </w:r>
          </w:p>
        </w:tc>
        <w:tc>
          <w:tcPr>
            <w:tcW w:type="dxa" w:w="1984"/>
            <w:shd w:val="clear" w:color="auto" w:fill="F7F4FB"/>
          </w:tcPr>
          <w:p>
            <w:pPr>
              <w:spacing w:after="20"/>
            </w:pPr>
            <w:r/>
            <w:r>
              <w:rPr>
                <w:sz w:val="17"/>
              </w:rPr>
              <w:t>LC-8</w:t>
            </w:r>
          </w:p>
        </w:tc>
      </w:tr>
      <w:tr>
        <w:tc>
          <w:tcPr>
            <w:tcW w:type="dxa" w:w="567"/>
          </w:tcPr>
          <w:p>
            <w:pPr>
              <w:spacing w:after="20"/>
            </w:pPr>
            <w:r/>
            <w:r>
              <w:rPr>
                <w:sz w:val="17"/>
              </w:rPr>
              <w:t>3</w:t>
            </w:r>
          </w:p>
        </w:tc>
        <w:tc>
          <w:tcPr>
            <w:tcW w:type="dxa" w:w="7087"/>
          </w:tcPr>
          <w:p>
            <w:pPr>
              <w:spacing w:after="20"/>
            </w:pPr>
            <w:r/>
            <w:r>
              <w:rPr>
                <w:sz w:val="17"/>
              </w:rPr>
              <w:t>Use per-agent identity and least privilege</w:t>
            </w:r>
          </w:p>
        </w:tc>
        <w:tc>
          <w:tcPr>
            <w:tcW w:type="dxa" w:w="1984"/>
          </w:tcPr>
          <w:p>
            <w:pPr>
              <w:spacing w:after="20"/>
            </w:pPr>
            <w:r/>
            <w:r>
              <w:rPr>
                <w:sz w:val="17"/>
              </w:rPr>
              <w:t>LC-8, SE-2</w:t>
            </w:r>
          </w:p>
        </w:tc>
      </w:tr>
      <w:tr>
        <w:tc>
          <w:tcPr>
            <w:tcW w:type="dxa" w:w="567"/>
            <w:shd w:val="clear" w:color="auto" w:fill="F7F4FB"/>
          </w:tcPr>
          <w:p>
            <w:pPr>
              <w:spacing w:after="20"/>
            </w:pPr>
            <w:r/>
            <w:r>
              <w:rPr>
                <w:sz w:val="17"/>
              </w:rPr>
              <w:t>4</w:t>
            </w:r>
          </w:p>
        </w:tc>
        <w:tc>
          <w:tcPr>
            <w:tcW w:type="dxa" w:w="7087"/>
            <w:shd w:val="clear" w:color="auto" w:fill="F7F4FB"/>
          </w:tcPr>
          <w:p>
            <w:pPr>
              <w:spacing w:after="20"/>
            </w:pPr>
            <w:r/>
            <w:r>
              <w:rPr>
                <w:sz w:val="17"/>
              </w:rPr>
              <w:t>Prefer short-lived credentials and federated workload identity</w:t>
            </w:r>
          </w:p>
        </w:tc>
        <w:tc>
          <w:tcPr>
            <w:tcW w:type="dxa" w:w="1984"/>
            <w:shd w:val="clear" w:color="auto" w:fill="F7F4FB"/>
          </w:tcPr>
          <w:p>
            <w:pPr>
              <w:spacing w:after="20"/>
            </w:pPr>
            <w:r/>
            <w:r>
              <w:rPr>
                <w:sz w:val="17"/>
              </w:rPr>
              <w:t>SE-8</w:t>
            </w:r>
          </w:p>
        </w:tc>
      </w:tr>
      <w:tr>
        <w:tc>
          <w:tcPr>
            <w:tcW w:type="dxa" w:w="567"/>
          </w:tcPr>
          <w:p>
            <w:pPr>
              <w:spacing w:after="20"/>
            </w:pPr>
            <w:r/>
            <w:r>
              <w:rPr>
                <w:sz w:val="17"/>
              </w:rPr>
              <w:t>5</w:t>
            </w:r>
          </w:p>
        </w:tc>
        <w:tc>
          <w:tcPr>
            <w:tcW w:type="dxa" w:w="7087"/>
          </w:tcPr>
          <w:p>
            <w:pPr>
              <w:spacing w:after="20"/>
            </w:pPr>
            <w:r/>
            <w:r>
              <w:rPr>
                <w:sz w:val="17"/>
              </w:rPr>
              <w:t>Run tool / code execution in sandboxes and segment networks</w:t>
            </w:r>
          </w:p>
        </w:tc>
        <w:tc>
          <w:tcPr>
            <w:tcW w:type="dxa" w:w="1984"/>
          </w:tcPr>
          <w:p>
            <w:pPr>
              <w:spacing w:after="20"/>
            </w:pPr>
            <w:r/>
            <w:r>
              <w:rPr>
                <w:sz w:val="17"/>
              </w:rPr>
              <w:t>SE-9</w:t>
            </w:r>
          </w:p>
        </w:tc>
      </w:tr>
      <w:tr>
        <w:tc>
          <w:tcPr>
            <w:tcW w:type="dxa" w:w="567"/>
            <w:shd w:val="clear" w:color="auto" w:fill="F7F4FB"/>
          </w:tcPr>
          <w:p>
            <w:pPr>
              <w:spacing w:after="20"/>
            </w:pPr>
            <w:r/>
            <w:r>
              <w:rPr>
                <w:sz w:val="17"/>
              </w:rPr>
              <w:t>6</w:t>
            </w:r>
          </w:p>
        </w:tc>
        <w:tc>
          <w:tcPr>
            <w:tcW w:type="dxa" w:w="7087"/>
            <w:shd w:val="clear" w:color="auto" w:fill="F7F4FB"/>
          </w:tcPr>
          <w:p>
            <w:pPr>
              <w:spacing w:after="20"/>
            </w:pPr>
            <w:r/>
            <w:r>
              <w:rPr>
                <w:sz w:val="17"/>
              </w:rPr>
              <w:t>Deny outbound access by default</w:t>
            </w:r>
          </w:p>
        </w:tc>
        <w:tc>
          <w:tcPr>
            <w:tcW w:type="dxa" w:w="1984"/>
            <w:shd w:val="clear" w:color="auto" w:fill="F7F4FB"/>
          </w:tcPr>
          <w:p>
            <w:pPr>
              <w:spacing w:after="20"/>
            </w:pPr>
            <w:r/>
            <w:r>
              <w:rPr>
                <w:sz w:val="17"/>
              </w:rPr>
              <w:t>SE-9</w:t>
            </w:r>
          </w:p>
        </w:tc>
      </w:tr>
      <w:tr>
        <w:tc>
          <w:tcPr>
            <w:tcW w:type="dxa" w:w="567"/>
          </w:tcPr>
          <w:p>
            <w:pPr>
              <w:spacing w:after="20"/>
            </w:pPr>
            <w:r/>
            <w:r>
              <w:rPr>
                <w:sz w:val="17"/>
              </w:rPr>
              <w:t>7</w:t>
            </w:r>
          </w:p>
        </w:tc>
        <w:tc>
          <w:tcPr>
            <w:tcW w:type="dxa" w:w="7087"/>
          </w:tcPr>
          <w:p>
            <w:pPr>
              <w:spacing w:after="20"/>
            </w:pPr>
            <w:r/>
            <w:r>
              <w:rPr>
                <w:sz w:val="17"/>
              </w:rPr>
              <w:t>Treat all retrieved content and tool output as untrusted</w:t>
            </w:r>
          </w:p>
        </w:tc>
        <w:tc>
          <w:tcPr>
            <w:tcW w:type="dxa" w:w="1984"/>
          </w:tcPr>
          <w:p>
            <w:pPr>
              <w:spacing w:after="20"/>
            </w:pPr>
            <w:r/>
            <w:r>
              <w:rPr>
                <w:sz w:val="17"/>
              </w:rPr>
              <w:t>SE-6</w:t>
            </w:r>
          </w:p>
        </w:tc>
      </w:tr>
      <w:tr>
        <w:tc>
          <w:tcPr>
            <w:tcW w:type="dxa" w:w="567"/>
            <w:shd w:val="clear" w:color="auto" w:fill="F7F4FB"/>
          </w:tcPr>
          <w:p>
            <w:pPr>
              <w:spacing w:after="20"/>
            </w:pPr>
            <w:r/>
            <w:r>
              <w:rPr>
                <w:sz w:val="17"/>
              </w:rPr>
              <w:t>8</w:t>
            </w:r>
          </w:p>
        </w:tc>
        <w:tc>
          <w:tcPr>
            <w:tcW w:type="dxa" w:w="7087"/>
            <w:shd w:val="clear" w:color="auto" w:fill="F7F4FB"/>
          </w:tcPr>
          <w:p>
            <w:pPr>
              <w:spacing w:after="20"/>
            </w:pPr>
            <w:r/>
            <w:r>
              <w:rPr>
                <w:sz w:val="17"/>
              </w:rPr>
              <w:t>Protect memory with tenant / session isolation and retention controls</w:t>
            </w:r>
          </w:p>
        </w:tc>
        <w:tc>
          <w:tcPr>
            <w:tcW w:type="dxa" w:w="1984"/>
            <w:shd w:val="clear" w:color="auto" w:fill="F7F4FB"/>
          </w:tcPr>
          <w:p>
            <w:pPr>
              <w:spacing w:after="20"/>
            </w:pPr>
            <w:r/>
            <w:r>
              <w:rPr>
                <w:sz w:val="17"/>
              </w:rPr>
              <w:t>SE-8</w:t>
            </w:r>
          </w:p>
        </w:tc>
      </w:tr>
      <w:tr>
        <w:tc>
          <w:tcPr>
            <w:tcW w:type="dxa" w:w="567"/>
          </w:tcPr>
          <w:p>
            <w:pPr>
              <w:spacing w:after="20"/>
            </w:pPr>
            <w:r/>
            <w:r>
              <w:rPr>
                <w:sz w:val="17"/>
              </w:rPr>
              <w:t>9</w:t>
            </w:r>
          </w:p>
        </w:tc>
        <w:tc>
          <w:tcPr>
            <w:tcW w:type="dxa" w:w="7087"/>
          </w:tcPr>
          <w:p>
            <w:pPr>
              <w:spacing w:after="20"/>
            </w:pPr>
            <w:r/>
            <w:r>
              <w:rPr>
                <w:sz w:val="17"/>
              </w:rPr>
              <w:t>Put all tool actions behind a policy enforcement point</w:t>
            </w:r>
          </w:p>
        </w:tc>
        <w:tc>
          <w:tcPr>
            <w:tcW w:type="dxa" w:w="1984"/>
          </w:tcPr>
          <w:p>
            <w:pPr>
              <w:spacing w:after="20"/>
            </w:pPr>
            <w:r/>
            <w:r>
              <w:rPr>
                <w:sz w:val="17"/>
              </w:rPr>
              <w:t>SE-10</w:t>
            </w:r>
          </w:p>
        </w:tc>
      </w:tr>
      <w:tr>
        <w:tc>
          <w:tcPr>
            <w:tcW w:type="dxa" w:w="567"/>
            <w:shd w:val="clear" w:color="auto" w:fill="F7F4FB"/>
          </w:tcPr>
          <w:p>
            <w:pPr>
              <w:spacing w:after="20"/>
            </w:pPr>
            <w:r/>
            <w:r>
              <w:rPr>
                <w:sz w:val="17"/>
              </w:rPr>
              <w:t>10</w:t>
            </w:r>
          </w:p>
        </w:tc>
        <w:tc>
          <w:tcPr>
            <w:tcW w:type="dxa" w:w="7087"/>
            <w:shd w:val="clear" w:color="auto" w:fill="F7F4FB"/>
          </w:tcPr>
          <w:p>
            <w:pPr>
              <w:spacing w:after="20"/>
            </w:pPr>
            <w:r/>
            <w:r>
              <w:rPr>
                <w:sz w:val="17"/>
              </w:rPr>
              <w:t>Require human approval for high-risk (destructive, financial, legal, irreversible) actions</w:t>
            </w:r>
          </w:p>
        </w:tc>
        <w:tc>
          <w:tcPr>
            <w:tcW w:type="dxa" w:w="1984"/>
            <w:shd w:val="clear" w:color="auto" w:fill="F7F4FB"/>
          </w:tcPr>
          <w:p>
            <w:pPr>
              <w:spacing w:after="20"/>
            </w:pPr>
            <w:r/>
            <w:r>
              <w:rPr>
                <w:sz w:val="17"/>
              </w:rPr>
              <w:t>LC-8, RS-1</w:t>
            </w:r>
          </w:p>
        </w:tc>
      </w:tr>
      <w:tr>
        <w:tc>
          <w:tcPr>
            <w:tcW w:type="dxa" w:w="567"/>
          </w:tcPr>
          <w:p>
            <w:pPr>
              <w:spacing w:after="20"/>
            </w:pPr>
            <w:r/>
            <w:r>
              <w:rPr>
                <w:sz w:val="17"/>
              </w:rPr>
              <w:t>11</w:t>
            </w:r>
          </w:p>
        </w:tc>
        <w:tc>
          <w:tcPr>
            <w:tcW w:type="dxa" w:w="7087"/>
          </w:tcPr>
          <w:p>
            <w:pPr>
              <w:spacing w:after="20"/>
            </w:pPr>
            <w:r/>
            <w:r>
              <w:rPr>
                <w:sz w:val="17"/>
              </w:rPr>
              <w:t>Log prompts, tool calls, decisions and approvals with redaction</w:t>
            </w:r>
          </w:p>
        </w:tc>
        <w:tc>
          <w:tcPr>
            <w:tcW w:type="dxa" w:w="1984"/>
          </w:tcPr>
          <w:p>
            <w:pPr>
              <w:spacing w:after="20"/>
            </w:pPr>
            <w:r/>
            <w:r>
              <w:rPr>
                <w:sz w:val="17"/>
              </w:rPr>
              <w:t>OM-2</w:t>
            </w:r>
          </w:p>
        </w:tc>
      </w:tr>
      <w:tr>
        <w:tc>
          <w:tcPr>
            <w:tcW w:type="dxa" w:w="567"/>
            <w:shd w:val="clear" w:color="auto" w:fill="F7F4FB"/>
          </w:tcPr>
          <w:p>
            <w:pPr>
              <w:spacing w:after="20"/>
            </w:pPr>
            <w:r/>
            <w:r>
              <w:rPr>
                <w:sz w:val="17"/>
              </w:rPr>
              <w:t>12</w:t>
            </w:r>
          </w:p>
        </w:tc>
        <w:tc>
          <w:tcPr>
            <w:tcW w:type="dxa" w:w="7087"/>
            <w:shd w:val="clear" w:color="auto" w:fill="F7F4FB"/>
          </w:tcPr>
          <w:p>
            <w:pPr>
              <w:spacing w:after="20"/>
            </w:pPr>
            <w:r/>
            <w:r>
              <w:rPr>
                <w:sz w:val="17"/>
              </w:rPr>
              <w:t>Pin models and dependencies; use SBOM / AI-BOM and signing</w:t>
            </w:r>
          </w:p>
        </w:tc>
        <w:tc>
          <w:tcPr>
            <w:tcW w:type="dxa" w:w="1984"/>
            <w:shd w:val="clear" w:color="auto" w:fill="F7F4FB"/>
          </w:tcPr>
          <w:p>
            <w:pPr>
              <w:spacing w:after="20"/>
            </w:pPr>
            <w:r/>
            <w:r>
              <w:rPr>
                <w:sz w:val="17"/>
              </w:rPr>
              <w:t>SE-7, LC-13</w:t>
            </w:r>
          </w:p>
        </w:tc>
      </w:tr>
      <w:tr>
        <w:tc>
          <w:tcPr>
            <w:tcW w:type="dxa" w:w="567"/>
          </w:tcPr>
          <w:p>
            <w:pPr>
              <w:spacing w:after="20"/>
            </w:pPr>
            <w:r/>
            <w:r>
              <w:rPr>
                <w:sz w:val="17"/>
              </w:rPr>
              <w:t>13</w:t>
            </w:r>
          </w:p>
        </w:tc>
        <w:tc>
          <w:tcPr>
            <w:tcW w:type="dxa" w:w="7087"/>
          </w:tcPr>
          <w:p>
            <w:pPr>
              <w:spacing w:after="20"/>
            </w:pPr>
            <w:r/>
            <w:r>
              <w:rPr>
                <w:sz w:val="17"/>
              </w:rPr>
              <w:t>Integrate secure SDLC and change control for prompts, policies and tool permissions</w:t>
            </w:r>
          </w:p>
        </w:tc>
        <w:tc>
          <w:tcPr>
            <w:tcW w:type="dxa" w:w="1984"/>
          </w:tcPr>
          <w:p>
            <w:pPr>
              <w:spacing w:after="20"/>
            </w:pPr>
            <w:r/>
            <w:r>
              <w:rPr>
                <w:sz w:val="17"/>
              </w:rPr>
              <w:t>LC-12</w:t>
            </w:r>
          </w:p>
        </w:tc>
      </w:tr>
      <w:tr>
        <w:tc>
          <w:tcPr>
            <w:tcW w:type="dxa" w:w="567"/>
            <w:shd w:val="clear" w:color="auto" w:fill="F7F4FB"/>
          </w:tcPr>
          <w:p>
            <w:pPr>
              <w:spacing w:after="20"/>
            </w:pPr>
            <w:r/>
            <w:r>
              <w:rPr>
                <w:sz w:val="17"/>
              </w:rPr>
              <w:t>14</w:t>
            </w:r>
          </w:p>
        </w:tc>
        <w:tc>
          <w:tcPr>
            <w:tcW w:type="dxa" w:w="7087"/>
            <w:shd w:val="clear" w:color="auto" w:fill="F7F4FB"/>
          </w:tcPr>
          <w:p>
            <w:pPr>
              <w:spacing w:after="20"/>
            </w:pPr>
            <w:r/>
            <w:r>
              <w:rPr>
                <w:sz w:val="17"/>
              </w:rPr>
              <w:t>Add kill switches, rollback and safe-mode operation</w:t>
            </w:r>
          </w:p>
        </w:tc>
        <w:tc>
          <w:tcPr>
            <w:tcW w:type="dxa" w:w="1984"/>
            <w:shd w:val="clear" w:color="auto" w:fill="F7F4FB"/>
          </w:tcPr>
          <w:p>
            <w:pPr>
              <w:spacing w:after="20"/>
            </w:pPr>
            <w:r/>
            <w:r>
              <w:rPr>
                <w:sz w:val="17"/>
              </w:rPr>
              <w:t>OM-4</w:t>
            </w:r>
          </w:p>
        </w:tc>
      </w:tr>
      <w:tr>
        <w:tc>
          <w:tcPr>
            <w:tcW w:type="dxa" w:w="567"/>
          </w:tcPr>
          <w:p>
            <w:pPr>
              <w:spacing w:after="20"/>
            </w:pPr>
            <w:r/>
            <w:r>
              <w:rPr>
                <w:sz w:val="17"/>
              </w:rPr>
              <w:t>15</w:t>
            </w:r>
          </w:p>
        </w:tc>
        <w:tc>
          <w:tcPr>
            <w:tcW w:type="dxa" w:w="7087"/>
          </w:tcPr>
          <w:p>
            <w:pPr>
              <w:spacing w:after="20"/>
            </w:pPr>
            <w:r/>
            <w:r>
              <w:rPr>
                <w:sz w:val="17"/>
              </w:rPr>
              <w:t>Red-team continuously for prompt injection and tool misuse</w:t>
            </w:r>
          </w:p>
        </w:tc>
        <w:tc>
          <w:tcPr>
            <w:tcW w:type="dxa" w:w="1984"/>
          </w:tcPr>
          <w:p>
            <w:pPr>
              <w:spacing w:after="20"/>
            </w:pPr>
            <w:r/>
            <w:r>
              <w:rPr>
                <w:sz w:val="17"/>
              </w:rPr>
              <w:t>AT-4, AA-3</w:t>
            </w:r>
          </w:p>
        </w:tc>
      </w:tr>
    </w:tbl>
    <w:p>
      <w:pPr>
        <w:spacing w:after="40"/>
      </w:pPr>
    </w:p>
    <w:p>
      <w:pPr>
        <w:pStyle w:val="Heading1"/>
      </w:pPr>
      <w:r>
        <w:t>Appendix E - Data classification and handling for AI</w:t>
      </w:r>
    </w:p>
    <w:p>
      <w:r>
        <w:rPr>
          <w:b w:val="0"/>
          <w:i w:val="0"/>
        </w:rPr>
        <w:t>Data classification drives which AI tools may process which data (RCM LC-1, SE-4, GL-5). The scheme below adapts the ISACA (2026) data classification and handling guide and adds AI-specific rules.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474"/>
        <w:gridCol w:w="2381"/>
        <w:gridCol w:w="2835"/>
        <w:gridCol w:w="2948"/>
      </w:tblGrid>
      <w:tr>
        <w:trPr>
          <w:tblHeader w:val="true"/>
        </w:trPr>
        <w:tc>
          <w:tcPr>
            <w:tcW w:type="dxa" w:w="1474"/>
            <w:shd w:val="clear" w:color="auto" w:fill="4F2D7F"/>
            <w:vAlign w:val="center"/>
          </w:tcPr>
          <w:p>
            <w:r/>
            <w:r>
              <w:rPr>
                <w:b/>
                <w:color w:val="FFFFFF"/>
                <w:sz w:val="16"/>
              </w:rPr>
              <w:t>Class</w:t>
            </w:r>
          </w:p>
        </w:tc>
        <w:tc>
          <w:tcPr>
            <w:tcW w:type="dxa" w:w="2381"/>
            <w:shd w:val="clear" w:color="auto" w:fill="4F2D7F"/>
            <w:vAlign w:val="center"/>
          </w:tcPr>
          <w:p>
            <w:r/>
            <w:r>
              <w:rPr>
                <w:b/>
                <w:color w:val="FFFFFF"/>
                <w:sz w:val="16"/>
              </w:rPr>
              <w:t>Examples</w:t>
            </w:r>
          </w:p>
        </w:tc>
        <w:tc>
          <w:tcPr>
            <w:tcW w:type="dxa" w:w="2835"/>
            <w:shd w:val="clear" w:color="auto" w:fill="4F2D7F"/>
            <w:vAlign w:val="center"/>
          </w:tcPr>
          <w:p>
            <w:r/>
            <w:r>
              <w:rPr>
                <w:b/>
                <w:color w:val="FFFFFF"/>
                <w:sz w:val="16"/>
              </w:rPr>
              <w:t>Handling</w:t>
            </w:r>
          </w:p>
        </w:tc>
        <w:tc>
          <w:tcPr>
            <w:tcW w:type="dxa" w:w="2948"/>
            <w:shd w:val="clear" w:color="auto" w:fill="4F2D7F"/>
            <w:vAlign w:val="center"/>
          </w:tcPr>
          <w:p>
            <w:r/>
            <w:r>
              <w:rPr>
                <w:b/>
                <w:color w:val="FFFFFF"/>
                <w:sz w:val="16"/>
              </w:rPr>
              <w:t>AI-specific rule</w:t>
            </w:r>
          </w:p>
        </w:tc>
      </w:tr>
      <w:tr>
        <w:tc>
          <w:tcPr>
            <w:tcW w:type="dxa" w:w="1474"/>
          </w:tcPr>
          <w:p>
            <w:pPr>
              <w:spacing w:after="20"/>
            </w:pPr>
            <w:r/>
            <w:r>
              <w:rPr>
                <w:sz w:val="16"/>
              </w:rPr>
              <w:t>Public</w:t>
            </w:r>
          </w:p>
        </w:tc>
        <w:tc>
          <w:tcPr>
            <w:tcW w:type="dxa" w:w="2381"/>
          </w:tcPr>
          <w:p>
            <w:pPr>
              <w:spacing w:after="20"/>
            </w:pPr>
            <w:r/>
            <w:r>
              <w:rPr>
                <w:sz w:val="16"/>
              </w:rPr>
              <w:t>Website content, press releases, brochures</w:t>
            </w:r>
          </w:p>
        </w:tc>
        <w:tc>
          <w:tcPr>
            <w:tcW w:type="dxa" w:w="2835"/>
          </w:tcPr>
          <w:p>
            <w:pPr>
              <w:spacing w:after="20"/>
            </w:pPr>
            <w:r/>
            <w:r>
              <w:rPr>
                <w:sz w:val="16"/>
              </w:rPr>
              <w:t>Approved systems; protect from unauthorised change</w:t>
            </w:r>
          </w:p>
        </w:tc>
        <w:tc>
          <w:tcPr>
            <w:tcW w:type="dxa" w:w="2948"/>
          </w:tcPr>
          <w:p>
            <w:pPr>
              <w:spacing w:after="20"/>
            </w:pPr>
            <w:r/>
            <w:r>
              <w:rPr>
                <w:sz w:val="16"/>
              </w:rPr>
              <w:t>May be used in any approved AI tool</w:t>
            </w:r>
          </w:p>
        </w:tc>
      </w:tr>
      <w:tr>
        <w:tc>
          <w:tcPr>
            <w:tcW w:type="dxa" w:w="1474"/>
            <w:shd w:val="clear" w:color="auto" w:fill="F7F4FB"/>
          </w:tcPr>
          <w:p>
            <w:pPr>
              <w:spacing w:after="20"/>
            </w:pPr>
            <w:r/>
            <w:r>
              <w:rPr>
                <w:sz w:val="16"/>
              </w:rPr>
              <w:t>Internal</w:t>
            </w:r>
          </w:p>
        </w:tc>
        <w:tc>
          <w:tcPr>
            <w:tcW w:type="dxa" w:w="2381"/>
            <w:shd w:val="clear" w:color="auto" w:fill="F7F4FB"/>
          </w:tcPr>
          <w:p>
            <w:pPr>
              <w:spacing w:after="20"/>
            </w:pPr>
            <w:r/>
            <w:r>
              <w:rPr>
                <w:sz w:val="16"/>
              </w:rPr>
              <w:t>Procedures, org charts, meeting notes, routine email</w:t>
            </w:r>
          </w:p>
        </w:tc>
        <w:tc>
          <w:tcPr>
            <w:tcW w:type="dxa" w:w="2835"/>
            <w:shd w:val="clear" w:color="auto" w:fill="F7F4FB"/>
          </w:tcPr>
          <w:p>
            <w:pPr>
              <w:spacing w:after="20"/>
            </w:pPr>
            <w:r/>
            <w:r>
              <w:rPr>
                <w:sz w:val="16"/>
              </w:rPr>
              <w:t>Approved company systems only; business-need access</w:t>
            </w:r>
          </w:p>
        </w:tc>
        <w:tc>
          <w:tcPr>
            <w:tcW w:type="dxa" w:w="2948"/>
            <w:shd w:val="clear" w:color="auto" w:fill="F7F4FB"/>
          </w:tcPr>
          <w:p>
            <w:pPr>
              <w:spacing w:after="20"/>
            </w:pPr>
            <w:r/>
            <w:r>
              <w:rPr>
                <w:sz w:val="16"/>
              </w:rPr>
              <w:t>Approved enterprise AI tools only; no public GenAI</w:t>
            </w:r>
          </w:p>
        </w:tc>
      </w:tr>
      <w:tr>
        <w:tc>
          <w:tcPr>
            <w:tcW w:type="dxa" w:w="1474"/>
          </w:tcPr>
          <w:p>
            <w:pPr>
              <w:spacing w:after="20"/>
            </w:pPr>
            <w:r/>
            <w:r>
              <w:rPr>
                <w:sz w:val="16"/>
              </w:rPr>
              <w:t>Confidential</w:t>
            </w:r>
          </w:p>
        </w:tc>
        <w:tc>
          <w:tcPr>
            <w:tcW w:type="dxa" w:w="2381"/>
          </w:tcPr>
          <w:p>
            <w:pPr>
              <w:spacing w:after="20"/>
            </w:pPr>
            <w:r/>
            <w:r>
              <w:rPr>
                <w:sz w:val="16"/>
              </w:rPr>
              <w:t>Client records, contracts, financial reports, most personal data</w:t>
            </w:r>
          </w:p>
        </w:tc>
        <w:tc>
          <w:tcPr>
            <w:tcW w:type="dxa" w:w="2835"/>
          </w:tcPr>
          <w:p>
            <w:pPr>
              <w:spacing w:after="20"/>
            </w:pPr>
            <w:r/>
            <w:r>
              <w:rPr>
                <w:sz w:val="16"/>
              </w:rPr>
              <w:t>Encrypted at rest and in transit; role-based, logged access; documented retention</w:t>
            </w:r>
          </w:p>
        </w:tc>
        <w:tc>
          <w:tcPr>
            <w:tcW w:type="dxa" w:w="2948"/>
          </w:tcPr>
          <w:p>
            <w:pPr>
              <w:spacing w:after="20"/>
            </w:pPr>
            <w:r/>
            <w:r>
              <w:rPr>
                <w:sz w:val="16"/>
              </w:rPr>
              <w:t>Enterprise AI with no-training, retention and residency terms; DPIA where personal data; human review of outputs</w:t>
            </w:r>
          </w:p>
        </w:tc>
      </w:tr>
      <w:tr>
        <w:tc>
          <w:tcPr>
            <w:tcW w:type="dxa" w:w="1474"/>
            <w:shd w:val="clear" w:color="auto" w:fill="F7F4FB"/>
          </w:tcPr>
          <w:p>
            <w:pPr>
              <w:spacing w:after="20"/>
            </w:pPr>
            <w:r/>
            <w:r>
              <w:rPr>
                <w:sz w:val="16"/>
              </w:rPr>
              <w:t>Restricted / highly sensitive</w:t>
            </w:r>
          </w:p>
        </w:tc>
        <w:tc>
          <w:tcPr>
            <w:tcW w:type="dxa" w:w="2381"/>
            <w:shd w:val="clear" w:color="auto" w:fill="F7F4FB"/>
          </w:tcPr>
          <w:p>
            <w:pPr>
              <w:spacing w:after="20"/>
            </w:pPr>
            <w:r/>
            <w:r>
              <w:rPr>
                <w:sz w:val="16"/>
              </w:rPr>
              <w:t>Health, special-category data, government IDs, payment data, credentials, keys, M&amp;A</w:t>
            </w:r>
          </w:p>
        </w:tc>
        <w:tc>
          <w:tcPr>
            <w:tcW w:type="dxa" w:w="2835"/>
            <w:shd w:val="clear" w:color="auto" w:fill="F7F4FB"/>
          </w:tcPr>
          <w:p>
            <w:pPr>
              <w:spacing w:after="20"/>
            </w:pPr>
            <w:r/>
            <w:r>
              <w:rPr>
                <w:sz w:val="16"/>
              </w:rPr>
              <w:t>Tightly controlled systems; strong encryption; MFA; strict need-to-know; shortest retention</w:t>
            </w:r>
          </w:p>
        </w:tc>
        <w:tc>
          <w:tcPr>
            <w:tcW w:type="dxa" w:w="2948"/>
            <w:shd w:val="clear" w:color="auto" w:fill="F7F4FB"/>
          </w:tcPr>
          <w:p>
            <w:pPr>
              <w:spacing w:after="20"/>
            </w:pPr>
            <w:r/>
            <w:r>
              <w:rPr>
                <w:sz w:val="16"/>
              </w:rPr>
              <w:t>Not permitted in GenAI prompts unless explicitly approved by the AI Committee for a High-tier use case with redaction / tokenisation; never place secrets in prompts</w:t>
            </w:r>
          </w:p>
        </w:tc>
      </w:tr>
    </w:tbl>
    <w:p>
      <w:pPr>
        <w:spacing w:after="40"/>
      </w:pPr>
    </w:p>
    <w:p>
      <w:pPr>
        <w:pStyle w:val="Heading1"/>
      </w:pPr>
      <w:r>
        <w:t>Appendix F - Key references</w:t>
      </w:r>
    </w:p>
    <w:p>
      <w:pPr>
        <w:pStyle w:val="ListBullet"/>
        <w:spacing w:after="40"/>
      </w:pPr>
      <w:r>
        <w:t>ISO/IEC 23894:2023 Information technology - AI - Guidance on risk management</w:t>
      </w:r>
    </w:p>
    <w:p>
      <w:pPr>
        <w:pStyle w:val="ListBullet"/>
        <w:spacing w:after="40"/>
      </w:pPr>
      <w:r>
        <w:t>ISO/IEC 42001:2023 AI management system; ISO/IEC 42005:2025 AI system impact assessment</w:t>
      </w:r>
    </w:p>
    <w:p>
      <w:pPr>
        <w:pStyle w:val="ListBullet"/>
        <w:spacing w:after="40"/>
      </w:pPr>
      <w:r>
        <w:t>ISO 31000:2018 Risk management - Guidelines</w:t>
      </w:r>
    </w:p>
    <w:p>
      <w:pPr>
        <w:pStyle w:val="ListBullet"/>
        <w:spacing w:after="40"/>
      </w:pPr>
      <w:r>
        <w:t>NIST AI 100-1 AI Risk Management Framework (2023); NIST AI 600-1 Generative AI Profile (2024); NIST AI 100-2 E2025 Adversarial Machine Learning</w:t>
      </w:r>
    </w:p>
    <w:p>
      <w:pPr>
        <w:pStyle w:val="ListBullet"/>
        <w:spacing w:after="40"/>
      </w:pPr>
      <w:r>
        <w:t>Regulation (EU) 2024/1689 (Artificial Intelligence Act)</w:t>
      </w:r>
    </w:p>
    <w:p>
      <w:pPr>
        <w:pStyle w:val="ListBullet"/>
        <w:spacing w:after="40"/>
      </w:pPr>
      <w:r>
        <w:t>OWASP Top 10 for LLM Applications 2025; OWASP Top 10 for Agentic Applications; MITRE ATLAS</w:t>
      </w:r>
    </w:p>
    <w:p>
      <w:pPr>
        <w:pStyle w:val="ListBullet"/>
        <w:spacing w:after="40"/>
      </w:pPr>
      <w:r>
        <w:t>ISACA - Cybersecurity Recommendations for Securing AI Agents (2026)</w:t>
      </w:r>
    </w:p>
    <w:p>
      <w:pPr>
        <w:pStyle w:val="ListBullet"/>
        <w:spacing w:after="40"/>
      </w:pPr>
      <w:r>
        <w:t>CWS ISO 42001 Checklist - 45 checks (2026); AI Security Audit Checklist v1.0</w:t>
      </w:r>
    </w:p>
    <w:p>
      <w:pPr>
        <w:pStyle w:val="ListBullet"/>
        <w:spacing w:after="40"/>
      </w:pPr>
      <w:r>
        <w:t>Kingdom of Bahrain Law No. 30 of 2018 (Personal Data Protection Law); iGA General Policy for the Use of AI v1.0 (2025); GCC Guiding Manual on the Ethics of AI Use</w:t>
      </w:r>
    </w:p>
    <w:p>
      <w:pPr>
        <w:pStyle w:val="ListBullet"/>
        <w:spacing w:after="40"/>
      </w:pPr>
      <w:r>
        <w:t>Central Bank of Bahrain Rulebook (HC, RM, OM, BC modules)</w:t>
      </w:r>
    </w:p>
    <w:p>
      <w:pPr>
        <w:pStyle w:val="ListBullet"/>
        <w:spacing w:after="40"/>
      </w:pPr>
      <w:r>
        <w:t>Digital NSW - NSW AI Assessment Framework (AIAF)</w:t>
      </w:r>
    </w:p>
    <w:p>
      <w:pPr>
        <w:pStyle w:val="ListBullet"/>
        <w:spacing w:after="40"/>
      </w:pPr>
      <w:r>
        <w:t>MIT AI Risk Repository; OECD AI Incidents Monitor</w:t>
      </w:r>
    </w:p>
    <w:sectPr w:rsidR="00FC693F" w:rsidRPr="0006063C" w:rsidSect="00034616">
      <w:headerReference w:type="default" r:id="rId12"/>
      <w:footerReference w:type="default" r:id="rId13"/>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4F2D7F"/>
        <w:sz w:val="16"/>
      </w:rPr>
      <w:t>Grant Thornton Bahrain  |  GT AI Risk Assessment Framework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b/>
      <w:bCs/>
      <w:color w:val="4F2D7F"/>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cs="Calibri"/>
      <w:b/>
      <w:bCs/>
      <w:color w:val="4F2D7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cs="Calibri"/>
      <w:b/>
      <w:bCs/>
      <w:color w:val="4F2D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