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F2D7F"/>
          <w:sz w:val="40"/>
        </w:rPr>
        <w:t>GT AI Readiness &amp; Risk Assessment</w:t>
      </w:r>
    </w:p>
    <w:p>
      <w:r>
        <w:rPr>
          <w:color w:val="4F2D7F"/>
          <w:sz w:val="24"/>
        </w:rPr>
        <w:t>Operating guide - collecting answers and issuing reports without sharing the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4D6"/>
          </w:tcPr>
          <w:p>
            <w:r/>
            <w:r>
              <w:rPr>
                <w:b/>
              </w:rPr>
              <w:t xml:space="preserve">GT INTERNAL - DO NOT SEND TO CLIENTS. </w:t>
            </w:r>
            <w:r>
              <w:t>The Excel engine (GT_AI_Readiness_Assessment_Tool.xlsx) contains the scoring logic, weightings and content mapping. It never leaves GT. Clients receive only the questionnaire link and the PDF report.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2D7F"/>
        </w:rPr>
        <w:t>1. How the process works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1928"/>
        <w:gridCol w:w="4535"/>
        <w:gridCol w:w="1020"/>
      </w:tblGrid>
      <w:tr>
        <w:tc>
          <w:tcPr>
            <w:tcW w:type="dxa" w:w="1814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928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Who</w:t>
            </w:r>
          </w:p>
        </w:tc>
        <w:tc>
          <w:tcPr>
            <w:tcW w:type="dxa" w:w="4535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What</w:t>
            </w:r>
          </w:p>
        </w:tc>
        <w:tc>
          <w:tcPr>
            <w:tcW w:type="dxa" w:w="1020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Time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1. Set up the form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 engagement team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Create the client's Microsoft Form from the Word questionnaire (Quick import)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15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2. Client completes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Client sponsor / respondents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34 questions: profile (14), AI use profile (4), readiness (16)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~45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3. Export responses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Forms &gt; Responses &gt; Open results in Excel &gt; download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4. Generate report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Run generate_readiness_reports.py: engine is filled, recalculated and exported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2-5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5. Quality review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 AI GRC reviewer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Check answers, headline results, narrative and priorities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30-60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6. Send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 engagement lead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Open the email draft (.eml) in Outlook, review and send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5 min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8"/>
              </w:rPr>
              <w:t>7. Debrief</w:t>
            </w:r>
          </w:p>
        </w:tc>
        <w:tc>
          <w:tcPr>
            <w:tcW w:type="dxa" w:w="1928"/>
          </w:tcPr>
          <w:p>
            <w:r/>
            <w:r>
              <w:rPr>
                <w:sz w:val="18"/>
              </w:rPr>
              <w:t>GT + client</w:t>
            </w:r>
          </w:p>
        </w:tc>
        <w:tc>
          <w:tcPr>
            <w:tcW w:type="dxa" w:w="4535"/>
          </w:tcPr>
          <w:p>
            <w:r/>
            <w:r>
              <w:rPr>
                <w:sz w:val="18"/>
              </w:rPr>
              <w:t>Walk through results; agree priorities (Standard / Plus)</w:t>
            </w:r>
          </w:p>
        </w:tc>
        <w:tc>
          <w:tcPr>
            <w:tcW w:type="dxa" w:w="1020"/>
          </w:tcPr>
          <w:p>
            <w:r/>
            <w:r>
              <w:rPr>
                <w:sz w:val="18"/>
              </w:rPr>
              <w:t>60-90 min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2D7F"/>
        </w:rPr>
        <w:t>2. Files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3118"/>
        <w:gridCol w:w="2551"/>
      </w:tblGrid>
      <w:tr>
        <w:tc>
          <w:tcPr>
            <w:tcW w:type="dxa" w:w="3685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3118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Location (repo)</w:t>
            </w:r>
          </w:p>
        </w:tc>
        <w:tc>
          <w:tcPr>
            <w:tcW w:type="dxa" w:w="2551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Share with client?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GT_AI_Readiness_Questionnaire.docx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1.3_.../client_questionnaire/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Only via Microsoft Forms (or as a fallback document)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GT_AI_Readiness_Responses_Template.xlsx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1.3_.../client_questionnaire/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Fallback only - if Forms cannot be used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GT_AI_Readiness_Assessment_Tool.xlsx (engine)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1.3_AI_Readiness_Assessment_Tool/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 - GT internal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generate_readiness_reports.py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src/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 - GT internal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&lt;Client&gt;_AI_Readiness_Report.pdf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YES - the deliverable</w:t>
            </w:r>
          </w:p>
        </w:tc>
      </w:tr>
      <w:tr>
        <w:tc>
          <w:tcPr>
            <w:tcW w:type="dxa" w:w="3685"/>
          </w:tcPr>
          <w:p>
            <w:r/>
            <w:r>
              <w:rPr>
                <w:sz w:val="18"/>
              </w:rPr>
              <w:t>&lt;Client&gt;_AI_Readiness_Engine.xlsx</w:t>
            </w:r>
          </w:p>
        </w:tc>
        <w:tc>
          <w:tcPr>
            <w:tcW w:type="dxa" w:w="311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2551"/>
          </w:tcPr>
          <w:p>
            <w:r/>
            <w:r>
              <w:rPr>
                <w:sz w:val="18"/>
              </w:rPr>
              <w:t>NO - keep in the engagement file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4F2D7F"/>
        </w:rPr>
        <w:t>3. Step-by-step</w:t>
      </w:r>
    </w:p>
    <w:p>
      <w:pPr>
        <w:pStyle w:val="Heading2"/>
      </w:pPr>
      <w:r>
        <w:rPr>
          <w:rFonts w:ascii="Arial" w:hAnsi="Arial"/>
          <w:color w:val="4F2D7F"/>
        </w:rPr>
        <w:t>3.1 Create the Microsoft Form</w:t>
      </w:r>
    </w:p>
    <w:p>
      <w:pPr>
        <w:pStyle w:val="ListNumber"/>
        <w:spacing w:after="40"/>
      </w:pPr>
      <w:r>
        <w:t>Go to forms.office.com with your GT account &gt; New Form &gt; Quick import (Word / PDF) &gt; upload GT_AI_Readiness_Questionnaire.docx.</w:t>
      </w:r>
    </w:p>
    <w:p>
      <w:pPr>
        <w:pStyle w:val="ListNumber"/>
        <w:spacing w:after="40"/>
      </w:pPr>
      <w:r>
        <w:t>Check the imported form: every question must be a single-choice question with the options A-E (or the listed options), except the free-text profile fields (organisation, names, email).</w:t>
      </w:r>
    </w:p>
    <w:p>
      <w:pPr>
        <w:pStyle w:val="ListNumber"/>
        <w:spacing w:after="40"/>
      </w:pPr>
      <w:r>
        <w:t>Do not edit the question tags in square brackets - [P1] ... [P14], [A1] ... [A4], [Q5] ... [Q20]. The report generator uses them to read the answers.</w:t>
      </w:r>
    </w:p>
    <w:p>
      <w:pPr>
        <w:pStyle w:val="ListNumber"/>
        <w:spacing w:after="40"/>
      </w:pPr>
      <w:r>
        <w:t>Settings: Who can fill out this form = Anyone can respond; turn off 'Record name'; set a closing date; add the GT confidentiality note from the questionnaire to the form description.</w:t>
      </w:r>
    </w:p>
    <w:p>
      <w:pPr>
        <w:pStyle w:val="ListNumber"/>
        <w:spacing w:after="40"/>
      </w:pPr>
      <w:r>
        <w:t>Use one form per client (Duplicate the master form and rename it '&lt;Client&gt; - AI Readiness Assessment'). This keeps responses separated.</w:t>
      </w:r>
    </w:p>
    <w:p>
      <w:pPr>
        <w:pStyle w:val="ListNumber"/>
        <w:spacing w:after="40"/>
      </w:pPr>
      <w:r>
        <w:t>Send the link to the client sponsor with the agreed deadline. For a team response, ask the sponsor to submit one consolidated response.</w:t>
      </w:r>
    </w:p>
    <w:p>
      <w:pPr>
        <w:spacing w:after="80"/>
      </w:pPr>
      <w:r>
        <w:rPr>
          <w:b/>
          <w:sz w:val="20"/>
        </w:rPr>
        <w:t xml:space="preserve">Note: </w:t>
      </w:r>
      <w:r>
        <w:rPr>
          <w:sz w:val="20"/>
        </w:rPr>
        <w:t>If Quick import is not available on your tenant, build the form once manually from the Word document (copy titles exactly, including the tags), then duplicate it for each client.</w:t>
      </w:r>
    </w:p>
    <w:p>
      <w:pPr>
        <w:pStyle w:val="Heading2"/>
      </w:pPr>
      <w:r>
        <w:rPr>
          <w:rFonts w:ascii="Arial" w:hAnsi="Arial"/>
          <w:color w:val="4F2D7F"/>
        </w:rPr>
        <w:t>3.2 Export the responses</w:t>
      </w:r>
    </w:p>
    <w:p>
      <w:pPr>
        <w:pStyle w:val="ListNumber"/>
        <w:spacing w:after="40"/>
      </w:pPr>
      <w:r>
        <w:t>Forms &gt; Responses &gt; Open results in Excel. Save the file to the client's engagement folder (not to personal OneDrive).</w:t>
      </w:r>
    </w:p>
    <w:p>
      <w:pPr>
        <w:pStyle w:val="ListNumber"/>
        <w:spacing w:after="40"/>
      </w:pPr>
      <w:r>
        <w:t>Fallback: if the client completed the Word document or the Responses Template instead, transcribe into GT_AI_Readiness_Responses_Template.xlsx (one row per organisation). Letters A-E or the full option text are both accepted.</w:t>
      </w:r>
    </w:p>
    <w:p>
      <w:pPr>
        <w:pStyle w:val="Heading2"/>
      </w:pPr>
      <w:r>
        <w:rPr>
          <w:rFonts w:ascii="Arial" w:hAnsi="Arial"/>
          <w:color w:val="4F2D7F"/>
        </w:rPr>
        <w:t>3.3 Generate the report</w:t>
      </w:r>
    </w:p>
    <w:p>
      <w:pPr>
        <w:spacing w:after="80"/>
      </w:pPr>
      <w:r>
        <w:rPr>
          <w:sz w:val="20"/>
        </w:rPr>
        <w:t>One-off set-up on the GT laptop: install Python 3.9+, LibreOffice (libreoffice.org) and the Python packages:</w:t>
      </w:r>
    </w:p>
    <w:p>
      <w:r>
        <w:rPr>
          <w:rFonts w:ascii="Consolas" w:hAnsi="Consolas"/>
        </w:rPr>
        <w:t>pip install openpyxl pypdf</w:t>
      </w:r>
    </w:p>
    <w:p>
      <w:pPr>
        <w:spacing w:after="80"/>
      </w:pPr>
      <w:r>
        <w:rPr>
          <w:sz w:val="20"/>
        </w:rPr>
        <w:t>Then run (paths in quotes if they contain spaces):</w:t>
      </w:r>
    </w:p>
    <w:p>
      <w:r>
        <w:rPr>
          <w:rFonts w:ascii="Consolas" w:hAnsi="Consolas"/>
          <w:sz w:val="17"/>
        </w:rPr>
        <w:t>python src/generate_readiness_reports.py "Responses.xlsx" "01_AI_Governance_Risk_Compliance/1.3_AI_Readiness_Assessment_Tool/GT_AI_Readiness_Assessment_Tool.xlsx" "Output" --gt-contact "Name, Grant Thornton Bahrain"</w:t>
      </w:r>
    </w:p>
    <w:p>
      <w:pPr>
        <w:spacing w:after="80"/>
      </w:pPr>
      <w:r>
        <w:rPr>
          <w:sz w:val="20"/>
        </w:rPr>
        <w:t>For each response row the script creates a folder Output/&lt;Organisation&gt;/ containing the PDF report, the filled engine (internal) and &lt;Organisation&gt;_email_draft.eml. The console shows the headline result, e.g. 'Grant Thornton Bahrain: readiness 60% (Informed), tier Medium, exposure Moderate, 7 report pages'. A WARNING line lists any unanswered questions - the report is then marked provisional; follow up with the client before issuing.</w:t>
      </w:r>
    </w:p>
    <w:p>
      <w:pPr>
        <w:pStyle w:val="Heading2"/>
      </w:pPr>
      <w:r>
        <w:rPr>
          <w:rFonts w:ascii="Arial" w:hAnsi="Arial"/>
          <w:color w:val="4F2D7F"/>
        </w:rPr>
        <w:t>3.4 Quality review (mandatory before sending)</w:t>
      </w:r>
    </w:p>
    <w:p>
      <w:pPr>
        <w:pStyle w:val="ListBullet"/>
        <w:spacing w:after="40"/>
      </w:pPr>
      <w:r>
        <w:t>Organisation name, sector, scope and date on page 1 are correct.</w:t>
      </w:r>
    </w:p>
    <w:p>
      <w:pPr>
        <w:pStyle w:val="ListBullet"/>
        <w:spacing w:after="40"/>
      </w:pPr>
      <w:r>
        <w:t>Headline results are plausible against what we know of the client (e.g., a regulated bank with no AI policy should not be 'Repeatable').</w:t>
      </w:r>
    </w:p>
    <w:p>
      <w:pPr>
        <w:pStyle w:val="ListBullet"/>
        <w:spacing w:after="40"/>
      </w:pPr>
      <w:r>
        <w:t>Inherent risk tier: check overrides (AI influencing decisions about individuals cannot be Low).</w:t>
      </w:r>
    </w:p>
    <w:p>
      <w:pPr>
        <w:pStyle w:val="ListBullet"/>
        <w:spacing w:after="40"/>
      </w:pPr>
      <w:r>
        <w:t>Read the narrative, the top-5 priorities and the roadmap; amend in the engine copy and re-export if a professional judgement differs - record the change in the engagement file.</w:t>
      </w:r>
    </w:p>
    <w:p>
      <w:pPr>
        <w:pStyle w:val="ListBullet"/>
        <w:spacing w:after="40"/>
      </w:pPr>
      <w:r>
        <w:t>Regulatory section: confirm applicability of EU AI Act and CBB items to this client.</w:t>
      </w:r>
    </w:p>
    <w:p>
      <w:pPr>
        <w:pStyle w:val="ListBullet"/>
        <w:spacing w:after="40"/>
      </w:pPr>
      <w:r>
        <w:t>Second-person review for Plus engagements or where exposure is High / Critical.</w:t>
      </w:r>
    </w:p>
    <w:p>
      <w:pPr>
        <w:pStyle w:val="Heading2"/>
      </w:pPr>
      <w:r>
        <w:rPr>
          <w:rFonts w:ascii="Arial" w:hAnsi="Arial"/>
          <w:color w:val="4F2D7F"/>
        </w:rPr>
        <w:t>3.5 Send the report</w:t>
      </w:r>
    </w:p>
    <w:p>
      <w:pPr>
        <w:pStyle w:val="ListNumber"/>
        <w:spacing w:after="40"/>
      </w:pPr>
      <w:r>
        <w:t>Double-click &lt;Organisation&gt;_email_draft.eml. Classic Outlook for Windows opens it as an unsent draft with the PDF attached and the client's email (from the form) in To.</w:t>
      </w:r>
    </w:p>
    <w:p>
      <w:pPr>
        <w:pStyle w:val="ListNumber"/>
        <w:spacing w:after="40"/>
      </w:pPr>
      <w:r>
        <w:t>Review the text, add CCs, check the attachment, and send from your GT mailbox.</w:t>
      </w:r>
    </w:p>
    <w:p>
      <w:pPr>
        <w:pStyle w:val="ListNumber"/>
        <w:spacing w:after="40"/>
      </w:pPr>
      <w:r>
        <w:t>New Outlook / Outlook for Mac may open the .eml as a received message: use Forward, or create a new email and attach the PDF; the text can be copied from the .eml.</w:t>
      </w:r>
    </w:p>
    <w:p>
      <w:pPr>
        <w:pStyle w:val="ListNumber"/>
        <w:spacing w:after="40"/>
      </w:pPr>
      <w:r>
        <w:t>Never attach the engine workbook.</w:t>
      </w:r>
    </w:p>
    <w:p>
      <w:pPr>
        <w:pStyle w:val="Heading1"/>
      </w:pPr>
      <w:r>
        <w:rPr>
          <w:rFonts w:ascii="Arial" w:hAnsi="Arial"/>
          <w:color w:val="4F2D7F"/>
        </w:rPr>
        <w:t>4. Data handling</w:t>
      </w:r>
    </w:p>
    <w:p>
      <w:pPr>
        <w:pStyle w:val="ListBullet"/>
        <w:spacing w:after="40"/>
      </w:pPr>
      <w:r>
        <w:t>Responses and outputs are stored only in the client engagement folder in GT's Microsoft 365 environment.</w:t>
      </w:r>
    </w:p>
    <w:p>
      <w:pPr>
        <w:pStyle w:val="ListBullet"/>
        <w:spacing w:after="40"/>
      </w:pPr>
      <w:r>
        <w:t>Do not paste client answers or reports into public AI tools.</w:t>
      </w:r>
    </w:p>
    <w:p>
      <w:pPr>
        <w:pStyle w:val="ListBullet"/>
        <w:spacing w:after="40"/>
      </w:pPr>
      <w:r>
        <w:t>Personal data is limited to respondent contact details (Bahrain PDPL); retain per the engagement letter and delete on request.</w:t>
      </w:r>
    </w:p>
    <w:p>
      <w:pPr>
        <w:pStyle w:val="ListBullet"/>
        <w:spacing w:after="40"/>
      </w:pPr>
      <w:r>
        <w:t>Reports are marked 'Confidential' and addressed only to the named sponsor.</w:t>
      </w:r>
    </w:p>
    <w:p>
      <w:pPr>
        <w:pStyle w:val="Heading1"/>
      </w:pPr>
      <w:r>
        <w:rPr>
          <w:rFonts w:ascii="Arial" w:hAnsi="Arial"/>
          <w:color w:val="4F2D7F"/>
        </w:rPr>
        <w:t>5. Troubleshooting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2835"/>
        <w:gridCol w:w="3685"/>
      </w:tblGrid>
      <w:tr>
        <w:tc>
          <w:tcPr>
            <w:tcW w:type="dxa" w:w="2835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Message / issue</w:t>
            </w:r>
          </w:p>
        </w:tc>
        <w:tc>
          <w:tcPr>
            <w:tcW w:type="dxa" w:w="2835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Cause</w:t>
            </w:r>
          </w:p>
        </w:tc>
        <w:tc>
          <w:tcPr>
            <w:tcW w:type="dxa" w:w="3685"/>
            <w:shd w:val="clear" w:color="auto" w:fill="4F2D7F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answer not recognised: '...'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Option text was edited in the form or typed by hand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Use the exact option text or its letter A-E in the responses file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LibreOffice (soffice) not found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LibreOffice not installed / not on the default path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Install LibreOffice; on Windows the default install path is detected automatically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 question is reported as unanswered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Column header lost its [tag] in Forms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Restore the tag in the form title, or rename the column header in the export to include it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Report has more / fewer pages than usual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Long free-text answers or many findings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Normal - pagination is automatic. Check no section is cut off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Client asks for the Excel tool</w:t>
            </w:r>
          </w:p>
        </w:tc>
        <w:tc>
          <w:tcPr>
            <w:tcW w:type="dxa" w:w="2835"/>
          </w:tcPr>
          <w:p>
            <w:r/>
            <w:r>
              <w:rPr>
                <w:sz w:val="18"/>
              </w:rPr>
              <w:t>-</w:t>
            </w:r>
          </w:p>
        </w:tc>
        <w:tc>
          <w:tcPr>
            <w:tcW w:type="dxa" w:w="3685"/>
          </w:tcPr>
          <w:p>
            <w:r/>
            <w:r>
              <w:rPr>
                <w:sz w:val="18"/>
              </w:rPr>
              <w:t>Explain the methodology is proprietary; offer the debrief and, under the Plus option, the detailed evidence review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