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4F2D7F"/>
          </w:tcPr>
          <w:p>
            <w:r/>
            <w:r>
              <w:rPr>
                <w:b/>
                <w:color w:val="FFFFFF"/>
                <w:sz w:val="40"/>
              </w:rPr>
              <w:t>AI Readiness &amp; Risk Assessment - Questionnaire</w:t>
            </w:r>
          </w:p>
          <w:p>
            <w:r>
              <w:rPr>
                <w:color w:val="E8E0F3"/>
                <w:sz w:val="22"/>
              </w:rPr>
              <w:t>Grant Thornton Bahrain  |  AI Governance, Risk &amp; Compliance</w:t>
            </w:r>
          </w:p>
        </w:tc>
      </w:tr>
    </w:tbl>
    <w:p/>
    <w:p>
      <w:pPr>
        <w:pStyle w:val="Heading1"/>
      </w:pPr>
      <w:r>
        <w:t>Before you start</w:t>
      </w:r>
    </w:p>
    <w:p>
      <w:r>
        <w:t>This questionnaire takes about 20-25 minutes. It has three parts: your organisation profile (14 questions), how AI is used (4 questions) and how AI is governed and managed (16 questions across 5 areas).</w:t>
      </w:r>
    </w:p>
    <w:p>
      <w:r>
        <w:t>For each question choose ONE answer - the statement that best describes the situation today. If you are unsure between two answers, choose the lower one: Grant Thornton may ask for supporting evidence for the answer selected.</w:t>
      </w:r>
    </w:p>
    <w:p>
      <w:r>
        <w:t>Answers are confidential and used only to prepare your AI Readiness &amp; Risk Assessment report. Grant Thornton analyses the responses and sends the report to the email address you provide.</w:t>
      </w:r>
    </w:p>
    <w:p>
      <w:r>
        <w:t>You can complete this questionnaire online (link provided by Grant Thornton) or fill in this document and return it to your Grant Thornton contact.</w:t>
      </w:r>
    </w:p>
    <w:p>
      <w:pPr>
        <w:pStyle w:val="Heading1"/>
      </w:pPr>
      <w:r>
        <w:t>Part 1 - Organisation profile</w:t>
      </w:r>
    </w:p>
    <w:p>
      <w:pPr>
        <w:keepNext/>
        <w:spacing w:before="160"/>
      </w:pPr>
      <w:r>
        <w:rPr>
          <w:b/>
        </w:rPr>
        <w:t>1. [P1] Organisation name</w:t>
      </w:r>
    </w:p>
    <w:p>
      <w:pPr>
        <w:ind w:left="454"/>
      </w:pPr>
      <w:r>
        <w:t>Answer: ______________________________________________</w:t>
      </w:r>
    </w:p>
    <w:p>
      <w:pPr>
        <w:keepNext/>
        <w:spacing w:before="160"/>
      </w:pPr>
      <w:r>
        <w:rPr>
          <w:b/>
        </w:rPr>
        <w:t>2. [P2] Sector</w:t>
      </w:r>
    </w:p>
    <w:p>
      <w:pPr>
        <w:keepNext/>
        <w:spacing w:after="20"/>
        <w:ind w:left="454"/>
      </w:pPr>
      <w:r>
        <w:t>1. Banking &amp; financial services</w:t>
      </w:r>
    </w:p>
    <w:p>
      <w:pPr>
        <w:keepNext/>
        <w:spacing w:after="20"/>
        <w:ind w:left="454"/>
      </w:pPr>
      <w:r>
        <w:t>2. Insurance</w:t>
      </w:r>
    </w:p>
    <w:p>
      <w:pPr>
        <w:keepNext/>
        <w:spacing w:after="20"/>
        <w:ind w:left="454"/>
      </w:pPr>
      <w:r>
        <w:t>3. Government &amp; public sector</w:t>
      </w:r>
    </w:p>
    <w:p>
      <w:pPr>
        <w:keepNext/>
        <w:spacing w:after="20"/>
        <w:ind w:left="454"/>
      </w:pPr>
      <w:r>
        <w:t>4. Telecommunications</w:t>
      </w:r>
    </w:p>
    <w:p>
      <w:pPr>
        <w:keepNext/>
        <w:spacing w:after="20"/>
        <w:ind w:left="454"/>
      </w:pPr>
      <w:r>
        <w:t>5. Healthcare</w:t>
      </w:r>
    </w:p>
    <w:p>
      <w:pPr>
        <w:keepNext/>
        <w:spacing w:after="20"/>
        <w:ind w:left="454"/>
      </w:pPr>
      <w:r>
        <w:t>6. Hospitality &amp; tourism</w:t>
      </w:r>
    </w:p>
    <w:p>
      <w:pPr>
        <w:keepNext/>
        <w:spacing w:after="20"/>
        <w:ind w:left="454"/>
      </w:pPr>
      <w:r>
        <w:t>7. Professional services</w:t>
      </w:r>
    </w:p>
    <w:p>
      <w:pPr>
        <w:keepNext/>
        <w:spacing w:after="20"/>
        <w:ind w:left="454"/>
      </w:pPr>
      <w:r>
        <w:t>8. Manufacturing &amp; industry</w:t>
      </w:r>
    </w:p>
    <w:p>
      <w:pPr>
        <w:keepNext/>
        <w:spacing w:after="20"/>
        <w:ind w:left="454"/>
      </w:pPr>
      <w:r>
        <w:t>9. Retail &amp; consumer</w:t>
      </w:r>
    </w:p>
    <w:p>
      <w:pPr>
        <w:keepNext/>
        <w:spacing w:after="20"/>
        <w:ind w:left="454"/>
      </w:pPr>
      <w:r>
        <w:t>10. Energy &amp; utilities</w:t>
      </w:r>
    </w:p>
    <w:p>
      <w:pPr>
        <w:keepNext/>
        <w:spacing w:after="20"/>
        <w:ind w:left="454"/>
      </w:pPr>
      <w:r>
        <w:t>11. Education</w:t>
      </w:r>
    </w:p>
    <w:p>
      <w:pPr>
        <w:keepNext w:val="0"/>
        <w:spacing w:after="20"/>
        <w:ind w:left="454"/>
      </w:pPr>
      <w:r>
        <w:t>12. Other</w:t>
      </w:r>
    </w:p>
    <w:p>
      <w:pPr>
        <w:keepNext/>
        <w:spacing w:before="160"/>
      </w:pPr>
      <w:r>
        <w:rPr>
          <w:b/>
        </w:rPr>
        <w:t>3. [P3] Organisation size</w:t>
      </w:r>
    </w:p>
    <w:p>
      <w:pPr>
        <w:keepNext/>
        <w:spacing w:after="20"/>
        <w:ind w:left="454"/>
      </w:pPr>
      <w:r>
        <w:t>A. 1-50 employees</w:t>
      </w:r>
    </w:p>
    <w:p>
      <w:pPr>
        <w:keepNext/>
        <w:spacing w:after="20"/>
        <w:ind w:left="454"/>
      </w:pPr>
      <w:r>
        <w:t>B. 51-250 employees</w:t>
      </w:r>
    </w:p>
    <w:p>
      <w:pPr>
        <w:keepNext/>
        <w:spacing w:after="20"/>
        <w:ind w:left="454"/>
      </w:pPr>
      <w:r>
        <w:t>C. 251-1,000 employees</w:t>
      </w:r>
    </w:p>
    <w:p>
      <w:pPr>
        <w:keepNext/>
        <w:spacing w:after="20"/>
        <w:ind w:left="454"/>
      </w:pPr>
      <w:r>
        <w:t>D. 1,001-5,000 employees</w:t>
      </w:r>
    </w:p>
    <w:p>
      <w:pPr>
        <w:keepNext w:val="0"/>
        <w:spacing w:after="20"/>
        <w:ind w:left="454"/>
      </w:pPr>
      <w:r>
        <w:t>E. More than 5,000 employees</w:t>
      </w:r>
    </w:p>
    <w:p>
      <w:pPr>
        <w:keepNext/>
        <w:spacing w:before="160"/>
      </w:pPr>
      <w:r>
        <w:rPr>
          <w:b/>
        </w:rPr>
        <w:t>4. [P4] Scope of this assessment</w:t>
      </w:r>
    </w:p>
    <w:p>
      <w:pPr>
        <w:keepNext/>
        <w:spacing w:after="20"/>
        <w:ind w:left="454"/>
      </w:pPr>
      <w:r>
        <w:t>A. Whole organisation</w:t>
      </w:r>
    </w:p>
    <w:p>
      <w:pPr>
        <w:keepNext/>
        <w:spacing w:after="20"/>
        <w:ind w:left="454"/>
      </w:pPr>
      <w:r>
        <w:t>B. Business unit / function</w:t>
      </w:r>
    </w:p>
    <w:p>
      <w:pPr>
        <w:keepNext w:val="0"/>
        <w:spacing w:after="20"/>
        <w:ind w:left="454"/>
      </w:pPr>
      <w:r>
        <w:t>C. Specific AI system or use case</w:t>
      </w:r>
    </w:p>
    <w:p>
      <w:pPr>
        <w:keepNext/>
        <w:spacing w:before="160"/>
      </w:pPr>
      <w:r>
        <w:rPr>
          <w:b/>
        </w:rPr>
        <w:t>5. [P5] Scope description (optional)</w:t>
      </w:r>
    </w:p>
    <w:p>
      <w:pPr>
        <w:ind w:left="454"/>
      </w:pPr>
      <w:r>
        <w:t>Answer: ______________________________________________</w:t>
      </w:r>
    </w:p>
    <w:p>
      <w:pPr>
        <w:keepNext/>
        <w:spacing w:before="160"/>
      </w:pPr>
      <w:r>
        <w:rPr>
          <w:b/>
        </w:rPr>
        <w:t>6. [P6] Your name</w:t>
      </w:r>
    </w:p>
    <w:p>
      <w:pPr>
        <w:ind w:left="454"/>
      </w:pPr>
      <w:r>
        <w:t>Answer: ______________________________________________</w:t>
      </w:r>
    </w:p>
    <w:p>
      <w:pPr>
        <w:keepNext/>
        <w:spacing w:before="160"/>
      </w:pPr>
      <w:r>
        <w:rPr>
          <w:b/>
        </w:rPr>
        <w:t>7. [P7] Your role / title</w:t>
      </w:r>
    </w:p>
    <w:p>
      <w:pPr>
        <w:ind w:left="454"/>
      </w:pPr>
      <w:r>
        <w:t>Answer: ______________________________________________</w:t>
      </w:r>
    </w:p>
    <w:p>
      <w:pPr>
        <w:keepNext/>
        <w:spacing w:before="160"/>
      </w:pPr>
      <w:r>
        <w:rPr>
          <w:b/>
        </w:rPr>
        <w:t>8. [P8] Your email address (the report will be sent here)</w:t>
      </w:r>
    </w:p>
    <w:p>
      <w:pPr>
        <w:ind w:left="454"/>
      </w:pPr>
      <w:r>
        <w:t>Answer: ______________________________________________</w:t>
      </w:r>
    </w:p>
    <w:p>
      <w:pPr>
        <w:keepNext/>
        <w:spacing w:before="160"/>
      </w:pPr>
      <w:r>
        <w:rPr>
          <w:b/>
        </w:rPr>
        <w:t>9. [P9] Is the organisation licensed by the Central Bank of Bahrain (CBB)?</w:t>
      </w:r>
    </w:p>
    <w:p>
      <w:pPr>
        <w:keepNext/>
        <w:spacing w:after="20"/>
        <w:ind w:left="454"/>
      </w:pPr>
      <w:r>
        <w:t>A. Yes</w:t>
      </w:r>
    </w:p>
    <w:p>
      <w:pPr>
        <w:keepNext w:val="0"/>
        <w:spacing w:after="20"/>
        <w:ind w:left="454"/>
      </w:pPr>
      <w:r>
        <w:t>B. No</w:t>
      </w:r>
    </w:p>
    <w:p>
      <w:pPr>
        <w:keepNext/>
        <w:spacing w:before="160"/>
      </w:pPr>
      <w:r>
        <w:rPr>
          <w:b/>
        </w:rPr>
        <w:t>10. [P10] Do AI systems process personal data of individuals in Bahrain?</w:t>
      </w:r>
    </w:p>
    <w:p>
      <w:pPr>
        <w:keepNext/>
        <w:spacing w:after="20"/>
        <w:ind w:left="454"/>
      </w:pPr>
      <w:r>
        <w:t>A. Yes</w:t>
      </w:r>
    </w:p>
    <w:p>
      <w:pPr>
        <w:keepNext w:val="0"/>
        <w:spacing w:after="20"/>
        <w:ind w:left="454"/>
      </w:pPr>
      <w:r>
        <w:t>B. No</w:t>
      </w:r>
    </w:p>
    <w:p>
      <w:pPr>
        <w:keepNext/>
        <w:spacing w:before="160"/>
      </w:pPr>
      <w:r>
        <w:rPr>
          <w:b/>
        </w:rPr>
        <w:t>11. [P11] Are AI-enabled products / services offered in the EU, or AI outputs used in the EU?</w:t>
      </w:r>
    </w:p>
    <w:p>
      <w:pPr>
        <w:keepNext/>
        <w:spacing w:after="20"/>
        <w:ind w:left="454"/>
      </w:pPr>
      <w:r>
        <w:t>A. Yes</w:t>
      </w:r>
    </w:p>
    <w:p>
      <w:pPr>
        <w:keepNext w:val="0"/>
        <w:spacing w:after="20"/>
        <w:ind w:left="454"/>
      </w:pPr>
      <w:r>
        <w:t>B. No</w:t>
      </w:r>
    </w:p>
    <w:p>
      <w:pPr>
        <w:keepNext/>
        <w:spacing w:before="160"/>
      </w:pPr>
      <w:r>
        <w:rPr>
          <w:b/>
        </w:rPr>
        <w:t>12. [P12] Does the organisation operate in KSA, UAE or other GCC markets?</w:t>
      </w:r>
    </w:p>
    <w:p>
      <w:pPr>
        <w:keepNext/>
        <w:spacing w:after="20"/>
        <w:ind w:left="454"/>
      </w:pPr>
      <w:r>
        <w:t>A. Yes</w:t>
      </w:r>
    </w:p>
    <w:p>
      <w:pPr>
        <w:keepNext w:val="0"/>
        <w:spacing w:after="20"/>
        <w:ind w:left="454"/>
      </w:pPr>
      <w:r>
        <w:t>B. No</w:t>
      </w:r>
    </w:p>
    <w:p>
      <w:pPr>
        <w:keepNext/>
        <w:spacing w:before="160"/>
      </w:pPr>
      <w:r>
        <w:rPr>
          <w:b/>
        </w:rPr>
        <w:t>13. [P13] Is the organisation a government entity or public-sector body?</w:t>
      </w:r>
    </w:p>
    <w:p>
      <w:pPr>
        <w:keepNext/>
        <w:spacing w:after="20"/>
        <w:ind w:left="454"/>
      </w:pPr>
      <w:r>
        <w:t>A. Yes</w:t>
      </w:r>
    </w:p>
    <w:p>
      <w:pPr>
        <w:keepNext w:val="0"/>
        <w:spacing w:after="20"/>
        <w:ind w:left="454"/>
      </w:pPr>
      <w:r>
        <w:t>B. No</w:t>
      </w:r>
    </w:p>
    <w:p>
      <w:pPr>
        <w:keepNext/>
        <w:spacing w:before="160"/>
      </w:pPr>
      <w:r>
        <w:rPr>
          <w:b/>
        </w:rPr>
        <w:t>14. [P14] Does the organisation develop AI (provider) or only use it (deployer)?</w:t>
      </w:r>
    </w:p>
    <w:p>
      <w:pPr>
        <w:keepNext/>
        <w:spacing w:after="20"/>
        <w:ind w:left="454"/>
      </w:pPr>
      <w:r>
        <w:t>A. Deployer only (uses AI built by others)</w:t>
      </w:r>
    </w:p>
    <w:p>
      <w:pPr>
        <w:keepNext/>
        <w:spacing w:after="20"/>
        <w:ind w:left="454"/>
      </w:pPr>
      <w:r>
        <w:t>B. Provider (develops / sells AI systems)</w:t>
      </w:r>
    </w:p>
    <w:p>
      <w:pPr>
        <w:keepNext w:val="0"/>
        <w:spacing w:after="20"/>
        <w:ind w:left="454"/>
      </w:pPr>
      <w:r>
        <w:t>C. Both provider and deployer</w:t>
      </w:r>
    </w:p>
    <w:p>
      <w:r>
        <w:br w:type="page"/>
      </w:r>
    </w:p>
    <w:p>
      <w:pPr>
        <w:pStyle w:val="Heading1"/>
      </w:pPr>
      <w:r>
        <w:t>Part 2 - How AI is used in your organisation</w:t>
      </w:r>
    </w:p>
    <w:p>
      <w:r>
        <w:t>These questions describe your AI use and its potential impact. There are no right or wrong answers.</w:t>
      </w:r>
    </w:p>
    <w:p>
      <w:pPr>
        <w:keepNext/>
        <w:spacing w:before="160"/>
      </w:pPr>
      <w:r>
        <w:rPr>
          <w:b/>
        </w:rPr>
        <w:t>15. [A1] Which statement best describes how AI is used in your organisation today (including AI embedded in software and tools used by staff)?</w:t>
      </w:r>
    </w:p>
    <w:p>
      <w:pPr>
        <w:keepNext/>
      </w:pPr>
      <w:r>
        <w:rPr>
          <w:i/>
          <w:color w:val="6B6B6B"/>
          <w:sz w:val="18"/>
        </w:rPr>
        <w:t>Consider approved and unapproved tools, vendor software with AI features and AI used by suppliers on your behalf.</w:t>
      </w:r>
    </w:p>
    <w:p>
      <w:pPr>
        <w:keepNext/>
        <w:spacing w:after="20"/>
        <w:ind w:left="454"/>
      </w:pPr>
      <w:r>
        <w:t>A. No AI in use and none planned within 12 months</w:t>
      </w:r>
    </w:p>
    <w:p>
      <w:pPr>
        <w:keepNext/>
        <w:spacing w:after="20"/>
        <w:ind w:left="454"/>
      </w:pPr>
      <w:r>
        <w:t>B. Exploratory use of public GenAI tools (e.g., ChatGPT, Copilot web) for internal productivity only</w:t>
      </w:r>
    </w:p>
    <w:p>
      <w:pPr>
        <w:keepNext/>
        <w:spacing w:after="20"/>
        <w:ind w:left="454"/>
      </w:pPr>
      <w:r>
        <w:t>C. Approved enterprise GenAI tools and AI features embedded in business software across teams</w:t>
      </w:r>
    </w:p>
    <w:p>
      <w:pPr>
        <w:keepNext/>
        <w:spacing w:after="20"/>
        <w:ind w:left="454"/>
      </w:pPr>
      <w:r>
        <w:t>D. Custom or vendor-built AI / ML models supporting core processes or client services</w:t>
      </w:r>
    </w:p>
    <w:p>
      <w:pPr>
        <w:keepNext w:val="0"/>
        <w:spacing w:after="20"/>
        <w:ind w:left="454"/>
      </w:pPr>
      <w:r>
        <w:t>E. AI agents or automated AI decisions acting directly on systems, customers or transactions</w:t>
      </w:r>
    </w:p>
    <w:p>
      <w:pPr>
        <w:keepNext/>
        <w:spacing w:before="160"/>
      </w:pPr>
      <w:r>
        <w:rPr>
          <w:b/>
        </w:rPr>
        <w:t>16. [A2] What is the most significant type of decision or outcome your AI systems influence?</w:t>
      </w:r>
    </w:p>
    <w:p>
      <w:pPr>
        <w:keepNext/>
      </w:pPr>
      <w:r>
        <w:rPr>
          <w:i/>
          <w:color w:val="6B6B6B"/>
          <w:sz w:val="18"/>
        </w:rPr>
        <w:t>Answer for the highest-impact AI use case in scope (AIAF: 'worst credible harm').</w:t>
      </w:r>
    </w:p>
    <w:p>
      <w:pPr>
        <w:keepNext/>
        <w:spacing w:after="20"/>
        <w:ind w:left="454"/>
      </w:pPr>
      <w:r>
        <w:t>A. None - AI is used only for drafting, research or personal productivity</w:t>
      </w:r>
    </w:p>
    <w:p>
      <w:pPr>
        <w:keepNext/>
        <w:spacing w:after="20"/>
        <w:ind w:left="454"/>
      </w:pPr>
      <w:r>
        <w:t>B. Internal operational decisions with minor impact (e.g., scheduling, document triage)</w:t>
      </w:r>
    </w:p>
    <w:p>
      <w:pPr>
        <w:keepNext/>
        <w:spacing w:after="20"/>
        <w:ind w:left="454"/>
      </w:pPr>
      <w:r>
        <w:t>C. Customer- or client-facing outputs with limited individual impact (e.g., FAQ chatbots, marketing content)</w:t>
      </w:r>
    </w:p>
    <w:p>
      <w:pPr>
        <w:keepNext/>
        <w:spacing w:after="20"/>
        <w:ind w:left="454"/>
      </w:pPr>
      <w:r>
        <w:t>D. Decisions materially affecting individuals' services, employment or finances, with human review</w:t>
      </w:r>
    </w:p>
    <w:p>
      <w:pPr>
        <w:keepNext w:val="0"/>
        <w:spacing w:after="20"/>
        <w:ind w:left="454"/>
      </w:pPr>
      <w:r>
        <w:t>E. Decisions with legal or similarly significant effects on individuals (credit, hiring, insurance, eligibility, health) made or determined by AI</w:t>
      </w:r>
    </w:p>
    <w:p>
      <w:pPr>
        <w:keepNext/>
        <w:spacing w:before="160"/>
      </w:pPr>
      <w:r>
        <w:rPr>
          <w:b/>
        </w:rPr>
        <w:t>17. [A3] What is the most sensitive data processed by your AI systems (including data staff enter into AI tools)?</w:t>
      </w:r>
    </w:p>
    <w:p>
      <w:pPr>
        <w:keepNext/>
      </w:pPr>
      <w:r>
        <w:rPr>
          <w:i/>
          <w:color w:val="6B6B6B"/>
          <w:sz w:val="18"/>
        </w:rPr>
        <w:t>Include prompts, uploaded documents, training / fine-tuning data, retrieval sources and logs.</w:t>
      </w:r>
    </w:p>
    <w:p>
      <w:pPr>
        <w:keepNext/>
        <w:spacing w:after="20"/>
        <w:ind w:left="454"/>
      </w:pPr>
      <w:r>
        <w:t>A. Public or synthetic data only</w:t>
      </w:r>
    </w:p>
    <w:p>
      <w:pPr>
        <w:keepNext/>
        <w:spacing w:after="20"/>
        <w:ind w:left="454"/>
      </w:pPr>
      <w:r>
        <w:t>B. Internal, non-confidential business information</w:t>
      </w:r>
    </w:p>
    <w:p>
      <w:pPr>
        <w:keepNext/>
        <w:spacing w:after="20"/>
        <w:ind w:left="454"/>
      </w:pPr>
      <w:r>
        <w:t>C. Confidential business or client information</w:t>
      </w:r>
    </w:p>
    <w:p>
      <w:pPr>
        <w:keepNext/>
        <w:spacing w:after="20"/>
        <w:ind w:left="454"/>
      </w:pPr>
      <w:r>
        <w:t>D. Personal data of customers, employees or other individuals</w:t>
      </w:r>
    </w:p>
    <w:p>
      <w:pPr>
        <w:keepNext w:val="0"/>
        <w:spacing w:after="20"/>
        <w:ind w:left="454"/>
      </w:pPr>
      <w:r>
        <w:t>E. Sensitive personal data (health, biometric, financial account, children) or regulated / classified information</w:t>
      </w:r>
    </w:p>
    <w:p>
      <w:pPr>
        <w:keepNext/>
        <w:spacing w:before="160"/>
      </w:pPr>
      <w:r>
        <w:rPr>
          <w:b/>
        </w:rPr>
        <w:t>18. [A4] How much human oversight applies to AI outputs, and how reversible are the outcomes?</w:t>
      </w:r>
    </w:p>
    <w:p>
      <w:pPr>
        <w:keepNext/>
      </w:pPr>
      <w:r>
        <w:rPr>
          <w:i/>
          <w:color w:val="6B6B6B"/>
          <w:sz w:val="18"/>
        </w:rPr>
        <w:t>AIAF considers autonomy, human oversight and whether outputs are reversible or correctable.</w:t>
      </w:r>
    </w:p>
    <w:p>
      <w:pPr>
        <w:keepNext/>
        <w:spacing w:after="20"/>
        <w:ind w:left="454"/>
      </w:pPr>
      <w:r>
        <w:t>A. Humans make all decisions; AI outputs are advisory drafts only</w:t>
      </w:r>
    </w:p>
    <w:p>
      <w:pPr>
        <w:keepNext/>
        <w:spacing w:after="20"/>
        <w:ind w:left="454"/>
      </w:pPr>
      <w:r>
        <w:t>B. A qualified human reviews and approves every AI output before it is used</w:t>
      </w:r>
    </w:p>
    <w:p>
      <w:pPr>
        <w:keepNext/>
        <w:spacing w:after="20"/>
        <w:ind w:left="454"/>
      </w:pPr>
      <w:r>
        <w:t>C. Humans review samples or exceptions; errors are easily corrected</w:t>
      </w:r>
    </w:p>
    <w:p>
      <w:pPr>
        <w:keepNext/>
        <w:spacing w:after="20"/>
        <w:ind w:left="454"/>
      </w:pPr>
      <w:r>
        <w:t>D. AI acts automatically; humans can intervene after the fact; errors are costly to reverse</w:t>
      </w:r>
    </w:p>
    <w:p>
      <w:pPr>
        <w:keepNext w:val="0"/>
        <w:spacing w:after="20"/>
        <w:ind w:left="454"/>
      </w:pPr>
      <w:r>
        <w:t>E. AI acts autonomously with no practical real-time intervention; outcomes may be irreversible</w:t>
      </w:r>
    </w:p>
    <w:p>
      <w:r>
        <w:br w:type="page"/>
      </w:r>
    </w:p>
    <w:p>
      <w:pPr>
        <w:pStyle w:val="Heading1"/>
      </w:pPr>
      <w:r>
        <w:t>Part 3 - How AI is governed and managed</w:t>
      </w:r>
    </w:p>
    <w:p>
      <w:pPr>
        <w:pStyle w:val="Heading2"/>
      </w:pPr>
      <w:r>
        <w:t>AI Governance</w:t>
      </w:r>
    </w:p>
    <w:p>
      <w:pPr>
        <w:keepNext/>
        <w:spacing w:before="160"/>
      </w:pPr>
      <w:r>
        <w:rPr>
          <w:b/>
        </w:rPr>
        <w:t>19. [Q5] Is there a defined AI governance structure - board / executive oversight, an AI committee with decision rights, named owners for every AI system and clear three-lines-of-defence responsibilities?</w:t>
      </w:r>
    </w:p>
    <w:p>
      <w:pPr>
        <w:keepNext/>
      </w:pPr>
      <w:r>
        <w:rPr>
          <w:i/>
          <w:color w:val="6B6B6B"/>
          <w:sz w:val="18"/>
        </w:rPr>
        <w:t>Examples of evidence: board / ExCo terms of reference covering AI, AI committee charter, RACI, AI system owner register, internal-audit coverage.</w:t>
      </w:r>
    </w:p>
    <w:p>
      <w:pPr>
        <w:keepNext/>
        <w:spacing w:after="20"/>
        <w:ind w:left="454"/>
      </w:pPr>
      <w:r>
        <w:t>A. No defined AI governance; decisions are made ad hoc by individual teams</w:t>
      </w:r>
    </w:p>
    <w:p>
      <w:pPr>
        <w:keepNext/>
        <w:spacing w:after="20"/>
        <w:ind w:left="454"/>
      </w:pPr>
      <w:r>
        <w:t>B. Informal oversight by IT or a single function; roles not documented</w:t>
      </w:r>
    </w:p>
    <w:p>
      <w:pPr>
        <w:keepNext/>
        <w:spacing w:after="20"/>
        <w:ind w:left="454"/>
      </w:pPr>
      <w:r>
        <w:t>C. AI committee or sponsor defined on paper; roles and decision rights partly documented</w:t>
      </w:r>
    </w:p>
    <w:p>
      <w:pPr>
        <w:keepNext/>
        <w:spacing w:after="20"/>
        <w:ind w:left="454"/>
      </w:pPr>
      <w:r>
        <w:t>D. Board / ExCo oversight, AI committee with charter and decision rights, named system owners and a documented RACI across the three lines</w:t>
      </w:r>
    </w:p>
    <w:p>
      <w:pPr>
        <w:keepNext w:val="0"/>
        <w:spacing w:after="20"/>
        <w:ind w:left="454"/>
      </w:pPr>
      <w:r>
        <w:t>E. Governance operates effectively: regular board reporting, periodic effectiveness review and independent assurance by internal audit</w:t>
      </w:r>
    </w:p>
    <w:p>
      <w:pPr>
        <w:keepNext/>
        <w:spacing w:before="160"/>
      </w:pPr>
      <w:r>
        <w:rPr>
          <w:b/>
        </w:rPr>
        <w:t>20. [Q6] Do you have an approved AI (acceptable-use) policy and a process to identify and comply with applicable AI-related regulation (e.g., Bahrain PDPL, CBB rules, EU AI Act)?</w:t>
      </w:r>
    </w:p>
    <w:p>
      <w:pPr>
        <w:keepNext/>
      </w:pPr>
      <w:r>
        <w:rPr>
          <w:i/>
          <w:color w:val="6B6B6B"/>
          <w:sz w:val="18"/>
        </w:rPr>
        <w:t>Examples of evidence: AI policy, approved-tools list, staff acknowledgements, obligations register, compliance reviews.</w:t>
      </w:r>
    </w:p>
    <w:p>
      <w:pPr>
        <w:keepNext/>
        <w:spacing w:after="20"/>
        <w:ind w:left="454"/>
      </w:pPr>
      <w:r>
        <w:t>A. No AI policy; applicable AI regulations have not been identified</w:t>
      </w:r>
    </w:p>
    <w:p>
      <w:pPr>
        <w:keepNext/>
        <w:spacing w:after="20"/>
        <w:ind w:left="454"/>
      </w:pPr>
      <w:r>
        <w:t>B. Informal guidance only (e.g., emails); obligations understood by a few individuals</w:t>
      </w:r>
    </w:p>
    <w:p>
      <w:pPr>
        <w:keepNext/>
        <w:spacing w:after="20"/>
        <w:ind w:left="454"/>
      </w:pPr>
      <w:r>
        <w:t>C. AI acceptable-use policy approved; regulatory obligations identified but not mapped to controls</w:t>
      </w:r>
    </w:p>
    <w:p>
      <w:pPr>
        <w:keepNext/>
        <w:spacing w:after="20"/>
        <w:ind w:left="454"/>
      </w:pPr>
      <w:r>
        <w:t>D. AI policy enforced with staff acknowledgement; obligations register maps regulations to controls and owners</w:t>
      </w:r>
    </w:p>
    <w:p>
      <w:pPr>
        <w:keepNext w:val="0"/>
        <w:spacing w:after="20"/>
        <w:ind w:left="454"/>
      </w:pPr>
      <w:r>
        <w:t>E. Policy and obligations register reviewed regularly with horizon scanning; compliance tested and audit-ready evidence maintained</w:t>
      </w:r>
    </w:p>
    <w:p>
      <w:pPr>
        <w:keepNext/>
        <w:spacing w:before="160"/>
      </w:pPr>
      <w:r>
        <w:rPr>
          <w:b/>
        </w:rPr>
        <w:t>21. [Q7] Are there practical guardrails for fairness, transparency and human oversight, overseen by an AI committee or centre of excellence?</w:t>
      </w:r>
    </w:p>
    <w:p>
      <w:pPr>
        <w:keepNext/>
      </w:pPr>
      <w:r>
        <w:rPr>
          <w:i/>
          <w:color w:val="6B6B6B"/>
          <w:sz w:val="18"/>
        </w:rPr>
        <w:t>Examples of evidence: committee / CoE charter, guardrail standards, human-in-charge procedures, bias tests, AI disclosures, appeal routes.</w:t>
      </w:r>
    </w:p>
    <w:p>
      <w:pPr>
        <w:keepNext/>
        <w:spacing w:after="20"/>
        <w:ind w:left="454"/>
      </w:pPr>
      <w:r>
        <w:t>A. No responsible-AI guardrails or oversight body</w:t>
      </w:r>
    </w:p>
    <w:p>
      <w:pPr>
        <w:keepNext/>
        <w:spacing w:after="20"/>
        <w:ind w:left="454"/>
      </w:pPr>
      <w:r>
        <w:t>B. High-level ethical principles published but not operationalised</w:t>
      </w:r>
    </w:p>
    <w:p>
      <w:pPr>
        <w:keepNext/>
        <w:spacing w:after="20"/>
        <w:ind w:left="454"/>
      </w:pPr>
      <w:r>
        <w:t>C. AI committee / CoE established; guardrails defined for some areas (e.g., human review of outputs)</w:t>
      </w:r>
    </w:p>
    <w:p>
      <w:pPr>
        <w:keepNext/>
        <w:spacing w:after="20"/>
        <w:ind w:left="454"/>
      </w:pPr>
      <w:r>
        <w:t>D. Guardrails for fairness, transparency, disclosure and human-in-charge controls applied to all relevant AI; committee approves high-risk uses</w:t>
      </w:r>
    </w:p>
    <w:p>
      <w:pPr>
        <w:keepNext w:val="0"/>
        <w:spacing w:after="20"/>
        <w:ind w:left="454"/>
      </w:pPr>
      <w:r>
        <w:t>E. Guardrails tested (bias testing, oversight effectiveness); contestability routes for affected persons; lessons fed back into standards</w:t>
      </w:r>
    </w:p>
    <w:p>
      <w:pPr>
        <w:keepNext/>
        <w:spacing w:before="160"/>
      </w:pPr>
      <w:r>
        <w:rPr>
          <w:b/>
        </w:rPr>
        <w:t>22. [Q8] Are AI incidents detected, managed and reported, and is AI governance subject to internal audit or independent assurance?</w:t>
      </w:r>
    </w:p>
    <w:p>
      <w:pPr>
        <w:keepNext/>
      </w:pPr>
      <w:r>
        <w:rPr>
          <w:i/>
          <w:color w:val="6B6B6B"/>
          <w:sz w:val="18"/>
        </w:rPr>
        <w:t>Examples of evidence: AI incident categories, notification criteria, incident logs, internal-audit reports, vendor assurance, certification status.</w:t>
      </w:r>
    </w:p>
    <w:p>
      <w:pPr>
        <w:keepNext/>
        <w:spacing w:after="20"/>
        <w:ind w:left="454"/>
      </w:pPr>
      <w:r>
        <w:t>A. No AI incident process or assurance</w:t>
      </w:r>
    </w:p>
    <w:p>
      <w:pPr>
        <w:keepNext/>
        <w:spacing w:after="20"/>
        <w:ind w:left="454"/>
      </w:pPr>
      <w:r>
        <w:t>B. AI issues handled through general IT incident processes; no AI-specific assurance</w:t>
      </w:r>
    </w:p>
    <w:p>
      <w:pPr>
        <w:keepNext/>
        <w:spacing w:after="20"/>
        <w:ind w:left="454"/>
      </w:pPr>
      <w:r>
        <w:t>C. AI incident categories and escalation defined; ad hoc reviews of AI controls</w:t>
      </w:r>
    </w:p>
    <w:p>
      <w:pPr>
        <w:keepNext/>
        <w:spacing w:after="20"/>
        <w:ind w:left="454"/>
      </w:pPr>
      <w:r>
        <w:t>D. AI incident management with regulatory notification criteria; periodic internal audit of AI governance; assurance obtained from AI vendors</w:t>
      </w:r>
    </w:p>
    <w:p>
      <w:pPr>
        <w:keepNext w:val="0"/>
        <w:spacing w:after="20"/>
        <w:ind w:left="454"/>
      </w:pPr>
      <w:r>
        <w:t>E. Post-incident learning drives improvement; AI management system certified or certification-ready (ISO/IEC 42001); assurance reported to the board</w:t>
      </w:r>
    </w:p>
    <w:p>
      <w:pPr>
        <w:pStyle w:val="Heading2"/>
      </w:pPr>
      <w:r>
        <w:t>AI Risk &amp; Security</w:t>
      </w:r>
    </w:p>
    <w:p>
      <w:pPr>
        <w:keepNext/>
        <w:spacing w:before="160"/>
      </w:pPr>
      <w:r>
        <w:rPr>
          <w:b/>
        </w:rPr>
        <w:t>23. [Q9] Is there a documented AI risk management framework - risk taxonomy, assessment method, scoring scales and treatment process - integrated with enterprise risk management?</w:t>
      </w:r>
    </w:p>
    <w:p>
      <w:pPr>
        <w:keepNext/>
      </w:pPr>
      <w:r>
        <w:rPr>
          <w:i/>
          <w:color w:val="6B6B6B"/>
          <w:sz w:val="18"/>
        </w:rPr>
        <w:t>Examples of evidence: AI risk framework / methodology (e.g., aligned to ISO/IEC 23894 or NIST AI RMF), AI risk register, link to the enterprise risk register, completed assessments.</w:t>
      </w:r>
    </w:p>
    <w:p>
      <w:pPr>
        <w:keepNext/>
        <w:spacing w:after="20"/>
        <w:ind w:left="454"/>
      </w:pPr>
      <w:r>
        <w:t>A. AI risks are not identified or managed</w:t>
      </w:r>
    </w:p>
    <w:p>
      <w:pPr>
        <w:keepNext/>
        <w:spacing w:after="20"/>
        <w:ind w:left="454"/>
      </w:pPr>
      <w:r>
        <w:t>B. AI risks considered informally within general IT or project risk</w:t>
      </w:r>
    </w:p>
    <w:p>
      <w:pPr>
        <w:keepNext/>
        <w:spacing w:after="20"/>
        <w:ind w:left="454"/>
      </w:pPr>
      <w:r>
        <w:t>C. AI risk methodology drafted (taxonomy, scales) and applied to some AI initiatives</w:t>
      </w:r>
    </w:p>
    <w:p>
      <w:pPr>
        <w:keepNext/>
        <w:spacing w:after="20"/>
        <w:ind w:left="454"/>
      </w:pPr>
      <w:r>
        <w:t>D. Approved AI risk framework aligned to ISO/IEC 23894 / NIST AI RMF, applied to all AI use cases and integrated with the enterprise risk register</w:t>
      </w:r>
    </w:p>
    <w:p>
      <w:pPr>
        <w:keepNext w:val="0"/>
        <w:spacing w:after="20"/>
        <w:ind w:left="454"/>
      </w:pPr>
      <w:r>
        <w:t>E. Framework reviewed annually; AI risk aggregated across the portfolio and used in decisions; treatment effectiveness tested</w:t>
      </w:r>
    </w:p>
    <w:p>
      <w:pPr>
        <w:keepNext/>
        <w:spacing w:before="160"/>
      </w:pPr>
      <w:r>
        <w:rPr>
          <w:b/>
        </w:rPr>
        <w:t>24. [Q10] Has the board approved an AI risk appetite with measurable tolerances, and are key risk indicators (KRIs) monitored and reported with defined escalation?</w:t>
      </w:r>
    </w:p>
    <w:p>
      <w:pPr>
        <w:keepNext/>
      </w:pPr>
      <w:r>
        <w:rPr>
          <w:i/>
          <w:color w:val="6B6B6B"/>
          <w:sz w:val="18"/>
        </w:rPr>
        <w:t>Examples of evidence: approved AI risk appetite statement, KRI library with thresholds, risk dashboards, escalation and breach records.</w:t>
      </w:r>
    </w:p>
    <w:p>
      <w:pPr>
        <w:keepNext/>
        <w:spacing w:after="20"/>
        <w:ind w:left="454"/>
      </w:pPr>
      <w:r>
        <w:t>A. No AI risk appetite or risk indicators</w:t>
      </w:r>
    </w:p>
    <w:p>
      <w:pPr>
        <w:keepNext/>
        <w:spacing w:after="20"/>
        <w:ind w:left="454"/>
      </w:pPr>
      <w:r>
        <w:t>B. Enterprise risk appetite exists but does not address AI</w:t>
      </w:r>
    </w:p>
    <w:p>
      <w:pPr>
        <w:keepNext/>
        <w:spacing w:after="20"/>
        <w:ind w:left="454"/>
      </w:pPr>
      <w:r>
        <w:t>C. AI risk appetite drafted; a few indicators tracked informally</w:t>
      </w:r>
    </w:p>
    <w:p>
      <w:pPr>
        <w:keepNext/>
        <w:spacing w:after="20"/>
        <w:ind w:left="454"/>
      </w:pPr>
      <w:r>
        <w:t>D. Board-approved AI risk appetite with tolerances; KRIs with thresholds monitored and reported at least quarterly</w:t>
      </w:r>
    </w:p>
    <w:p>
      <w:pPr>
        <w:keepNext w:val="0"/>
        <w:spacing w:after="20"/>
        <w:ind w:left="454"/>
      </w:pPr>
      <w:r>
        <w:t>E. KRIs automated with mandatory responses on breach; appetite reviewed annually and used to steer investment and approvals</w:t>
      </w:r>
    </w:p>
    <w:p>
      <w:pPr>
        <w:keepNext/>
        <w:spacing w:before="160"/>
      </w:pPr>
      <w:r>
        <w:rPr>
          <w:b/>
        </w:rPr>
        <w:t>25. [Q11] Do you maintain an inventory of AI systems with named owners, and assess AI risks and impacts (including third-party AI) before and after deployment?</w:t>
      </w:r>
    </w:p>
    <w:p>
      <w:pPr>
        <w:keepNext/>
      </w:pPr>
      <w:r>
        <w:rPr>
          <w:i/>
          <w:color w:val="6B6B6B"/>
          <w:sz w:val="18"/>
        </w:rPr>
        <w:t>Examples of evidence: AI register, risk-tiering records, impact assessments, vendor AI due diligence, re-assessment records.</w:t>
      </w:r>
    </w:p>
    <w:p>
      <w:pPr>
        <w:keepNext/>
        <w:spacing w:after="20"/>
        <w:ind w:left="454"/>
      </w:pPr>
      <w:r>
        <w:t>A. No inventory; AI risks are not assessed</w:t>
      </w:r>
    </w:p>
    <w:p>
      <w:pPr>
        <w:keepNext/>
        <w:spacing w:after="20"/>
        <w:ind w:left="454"/>
      </w:pPr>
      <w:r>
        <w:t>B. Partial list of AI tools; risks assessed occasionally through general IT or vendor processes</w:t>
      </w:r>
    </w:p>
    <w:p>
      <w:pPr>
        <w:keepNext/>
        <w:spacing w:after="20"/>
        <w:ind w:left="454"/>
      </w:pPr>
      <w:r>
        <w:t>C. AI register with owners; risk assessments performed for some AI systems using a documented method</w:t>
      </w:r>
    </w:p>
    <w:p>
      <w:pPr>
        <w:keepNext/>
        <w:spacing w:after="20"/>
        <w:ind w:left="454"/>
      </w:pPr>
      <w:r>
        <w:t>D. Complete AI register; all AI use cases risk-tiered and assessed (incl. third-party AI) with approvals proportionate to risk</w:t>
      </w:r>
    </w:p>
    <w:p>
      <w:pPr>
        <w:keepNext w:val="0"/>
        <w:spacing w:after="20"/>
        <w:ind w:left="454"/>
      </w:pPr>
      <w:r>
        <w:t>E. Register reconciled quarterly; impact assessments (ISO/IEC 42005 / FRIA) for high-risk uses; re-assessment on change with KRIs monitored</w:t>
      </w:r>
    </w:p>
    <w:p>
      <w:pPr>
        <w:keepNext/>
        <w:spacing w:before="160"/>
      </w:pPr>
      <w:r>
        <w:rPr>
          <w:b/>
        </w:rPr>
        <w:t>26. [Q12] Are AI vendors, AI features in purchased software and foundation-model providers risk-assessed before use, with AI-specific contract clauses and ongoing monitoring?</w:t>
      </w:r>
    </w:p>
    <w:p>
      <w:pPr>
        <w:keepNext/>
      </w:pPr>
      <w:r>
        <w:rPr>
          <w:i/>
          <w:color w:val="6B6B6B"/>
          <w:sz w:val="18"/>
        </w:rPr>
        <w:t>Examples of evidence: AI vendor due-diligence questionnaire, contract clauses (no training on your data, residency, incident notice, audit rights), vendor assurance (ISO/IEC 42001, SOC 2), review records.</w:t>
      </w:r>
    </w:p>
    <w:p>
      <w:pPr>
        <w:keepNext/>
        <w:spacing w:after="20"/>
        <w:ind w:left="454"/>
      </w:pPr>
      <w:r>
        <w:t>A. AI vendors and AI features in software are not assessed</w:t>
      </w:r>
    </w:p>
    <w:p>
      <w:pPr>
        <w:keepNext/>
        <w:spacing w:after="20"/>
        <w:ind w:left="454"/>
      </w:pPr>
      <w:r>
        <w:t>B. Standard IT procurement only; AI-specific risks not considered</w:t>
      </w:r>
    </w:p>
    <w:p>
      <w:pPr>
        <w:keepNext/>
        <w:spacing w:after="20"/>
        <w:ind w:left="454"/>
      </w:pPr>
      <w:r>
        <w:t>C. AI questions added to vendor due diligence for some purchases; contract terms vary</w:t>
      </w:r>
    </w:p>
    <w:p>
      <w:pPr>
        <w:keepNext/>
        <w:spacing w:after="20"/>
        <w:ind w:left="454"/>
      </w:pPr>
      <w:r>
        <w:t>D. Mandatory AI due diligence and standard AI contract clauses for all AI vendors; providers reviewed annually</w:t>
      </w:r>
    </w:p>
    <w:p>
      <w:pPr>
        <w:keepNext w:val="0"/>
        <w:spacing w:after="20"/>
        <w:ind w:left="454"/>
      </w:pPr>
      <w:r>
        <w:t>E. Continuous monitoring of AI vendors and model changes; AI bill of materials maintained; exit plans for critical providers</w:t>
      </w:r>
    </w:p>
    <w:p>
      <w:pPr>
        <w:keepNext/>
        <w:spacing w:before="160"/>
      </w:pPr>
      <w:r>
        <w:rPr>
          <w:b/>
        </w:rPr>
        <w:t>27. [Q13] Are AI systems protected with least-privilege access, secure development and testing (incl. red teaming for prompt injection), and runtime logging?</w:t>
      </w:r>
    </w:p>
    <w:p>
      <w:pPr>
        <w:keepNext/>
      </w:pPr>
      <w:r>
        <w:rPr>
          <w:i/>
          <w:color w:val="6B6B6B"/>
          <w:sz w:val="18"/>
        </w:rPr>
        <w:t>Examples of evidence: AI threat models, access reviews (incl. agent identities), AI red-team reports, guardrail and sandbox configurations, audit logs. Detailed test: GT AI Security &amp; Agent Audit Checklist.</w:t>
      </w:r>
    </w:p>
    <w:p>
      <w:pPr>
        <w:keepNext/>
        <w:spacing w:after="20"/>
        <w:ind w:left="454"/>
      </w:pPr>
      <w:r>
        <w:t>A. AI systems are not specifically considered in security controls</w:t>
      </w:r>
    </w:p>
    <w:p>
      <w:pPr>
        <w:keepNext/>
        <w:spacing w:after="20"/>
        <w:ind w:left="454"/>
      </w:pPr>
      <w:r>
        <w:t>B. Standard IT security controls apply; no AI-specific threat assessment</w:t>
      </w:r>
    </w:p>
    <w:p>
      <w:pPr>
        <w:keepNext/>
        <w:spacing w:after="20"/>
        <w:ind w:left="454"/>
      </w:pPr>
      <w:r>
        <w:t>C. AI-specific threats (e.g., prompt injection, data leakage) assessed for some systems; access controls and logging in place</w:t>
      </w:r>
    </w:p>
    <w:p>
      <w:pPr>
        <w:keepNext/>
        <w:spacing w:after="20"/>
        <w:ind w:left="454"/>
      </w:pPr>
      <w:r>
        <w:t>D. Secure AI development lifecycle; least privilege for users, systems and agents; sandboxed tool execution; AI red teaming before release; runtime guardrails and audit logging</w:t>
      </w:r>
    </w:p>
    <w:p>
      <w:pPr>
        <w:keepNext w:val="0"/>
        <w:spacing w:after="20"/>
        <w:ind w:left="454"/>
      </w:pPr>
      <w:r>
        <w:t>E. Continuous adversarial testing, AI supply-chain assurance (model scanning, AI-BOM) and forensic-ready logging integrated with the SOC</w:t>
      </w:r>
    </w:p>
    <w:p>
      <w:pPr>
        <w:keepNext/>
        <w:spacing w:before="160"/>
      </w:pPr>
      <w:r>
        <w:rPr>
          <w:b/>
        </w:rPr>
        <w:t>28. [Q14] Is the organisation prepared for AI-enabled attacks such as deepfake impersonation, AI-crafted phishing and automated exploitation?</w:t>
      </w:r>
    </w:p>
    <w:p>
      <w:pPr>
        <w:keepNext/>
      </w:pPr>
      <w:r>
        <w:rPr>
          <w:i/>
          <w:color w:val="6B6B6B"/>
          <w:sz w:val="18"/>
        </w:rPr>
        <w:t>Examples of evidence: AI threat intelligence, out-of-band verification procedures, deepfake simulations, SOC use cases, playbooks, patch metrics.</w:t>
      </w:r>
    </w:p>
    <w:p>
      <w:pPr>
        <w:keepNext/>
        <w:spacing w:after="20"/>
        <w:ind w:left="454"/>
      </w:pPr>
      <w:r>
        <w:t>A. AI-enabled threats not considered</w:t>
      </w:r>
    </w:p>
    <w:p>
      <w:pPr>
        <w:keepNext/>
        <w:spacing w:after="20"/>
        <w:ind w:left="454"/>
      </w:pPr>
      <w:r>
        <w:t>B. General awareness only; no specific controls</w:t>
      </w:r>
    </w:p>
    <w:p>
      <w:pPr>
        <w:keepNext/>
        <w:spacing w:after="20"/>
        <w:ind w:left="454"/>
      </w:pPr>
      <w:r>
        <w:t>C. Threat intelligence covers AI-enabled attacks; out-of-band verification for some high-risk requests</w:t>
      </w:r>
    </w:p>
    <w:p>
      <w:pPr>
        <w:keepNext/>
        <w:spacing w:after="20"/>
        <w:ind w:left="454"/>
      </w:pPr>
      <w:r>
        <w:t>D. Deepfake-resilient verification for payments and sensitive requests; behaviour-based detection; AI incident playbooks exercised</w:t>
      </w:r>
    </w:p>
    <w:p>
      <w:pPr>
        <w:keepNext w:val="0"/>
        <w:spacing w:after="20"/>
        <w:ind w:left="454"/>
      </w:pPr>
      <w:r>
        <w:t>E. Continuous exposure management and AI-specific red teaming; automated response at machine speed; critical vulnerabilities remediated in days</w:t>
      </w:r>
    </w:p>
    <w:p>
      <w:pPr>
        <w:pStyle w:val="Heading2"/>
      </w:pPr>
      <w:r>
        <w:t>Training &amp; Awareness</w:t>
      </w:r>
    </w:p>
    <w:p>
      <w:pPr>
        <w:keepNext/>
        <w:spacing w:before="160"/>
      </w:pPr>
      <w:r>
        <w:rPr>
          <w:b/>
        </w:rPr>
        <w:t>29. [Q15] Have staff received AI literacy training appropriate to their role, and are specialist AI, governance and security skills being developed?</w:t>
      </w:r>
    </w:p>
    <w:p>
      <w:pPr>
        <w:keepNext/>
      </w:pPr>
      <w:r>
        <w:rPr>
          <w:i/>
          <w:color w:val="6B6B6B"/>
          <w:sz w:val="18"/>
        </w:rPr>
        <w:t>Examples of evidence: training curricula, completion records, role-based pathways, deepfake / phishing simulations, workforce plan.</w:t>
      </w:r>
    </w:p>
    <w:p>
      <w:pPr>
        <w:keepNext/>
        <w:spacing w:after="20"/>
        <w:ind w:left="454"/>
      </w:pPr>
      <w:r>
        <w:t>A. No AI training provided</w:t>
      </w:r>
    </w:p>
    <w:p>
      <w:pPr>
        <w:keepNext/>
        <w:spacing w:after="20"/>
        <w:ind w:left="454"/>
      </w:pPr>
      <w:r>
        <w:t>B. Ad hoc awareness sessions or self-learning only</w:t>
      </w:r>
    </w:p>
    <w:p>
      <w:pPr>
        <w:keepNext/>
        <w:spacing w:after="20"/>
        <w:ind w:left="454"/>
      </w:pPr>
      <w:r>
        <w:t>C. Baseline AI literacy training available to all staff; limited role-based training</w:t>
      </w:r>
    </w:p>
    <w:p>
      <w:pPr>
        <w:keepNext/>
        <w:spacing w:after="20"/>
        <w:ind w:left="454"/>
      </w:pPr>
      <w:r>
        <w:t>D. Mandatory AI literacy before tool access; role-based pathways for developers, oversight staff and leaders; scenario-based security awareness</w:t>
      </w:r>
    </w:p>
    <w:p>
      <w:pPr>
        <w:keepNext w:val="0"/>
        <w:spacing w:after="20"/>
        <w:ind w:left="454"/>
      </w:pPr>
      <w:r>
        <w:t>E. Competence measured and refreshed annually; workforce plan addresses future AI skills and job redesign; active AI champions network</w:t>
      </w:r>
    </w:p>
    <w:p>
      <w:pPr>
        <w:pStyle w:val="Heading2"/>
      </w:pPr>
      <w:r>
        <w:t>Strategy &amp; Value</w:t>
      </w:r>
    </w:p>
    <w:p>
      <w:pPr>
        <w:keepNext/>
        <w:spacing w:before="160"/>
      </w:pPr>
      <w:r>
        <w:rPr>
          <w:b/>
        </w:rPr>
        <w:t>30. [Q16] Is there executive ownership and an approved AI strategy that defines the ambition, priorities and where AI will (and will not) be used?</w:t>
      </w:r>
    </w:p>
    <w:p>
      <w:pPr>
        <w:keepNext/>
      </w:pPr>
      <w:r>
        <w:rPr>
          <w:i/>
          <w:color w:val="6B6B6B"/>
          <w:sz w:val="18"/>
        </w:rPr>
        <w:t>Examples of evidence: approved AI strategy, named executive sponsor, AI budget, communicated priorities and experimentation boundaries.</w:t>
      </w:r>
    </w:p>
    <w:p>
      <w:pPr>
        <w:keepNext/>
        <w:spacing w:after="20"/>
        <w:ind w:left="454"/>
      </w:pPr>
      <w:r>
        <w:t>A. No AI strategy or executive owner; AI adoption is unplanned</w:t>
      </w:r>
    </w:p>
    <w:p>
      <w:pPr>
        <w:keepNext/>
        <w:spacing w:after="20"/>
        <w:ind w:left="454"/>
      </w:pPr>
      <w:r>
        <w:t>B. Informal leadership interest; no documented strategy</w:t>
      </w:r>
    </w:p>
    <w:p>
      <w:pPr>
        <w:keepNext/>
        <w:spacing w:after="20"/>
        <w:ind w:left="454"/>
      </w:pPr>
      <w:r>
        <w:t>C. Executive sponsor named and AI strategy drafted, but not linked to business objectives or budget</w:t>
      </w:r>
    </w:p>
    <w:p>
      <w:pPr>
        <w:keepNext/>
        <w:spacing w:after="20"/>
        <w:ind w:left="454"/>
      </w:pPr>
      <w:r>
        <w:t>D. Approved AI strategy with executive ownership, priorities, budget and experimentation boundaries communicated to staff</w:t>
      </w:r>
    </w:p>
    <w:p>
      <w:pPr>
        <w:keepNext w:val="0"/>
        <w:spacing w:after="20"/>
        <w:ind w:left="454"/>
      </w:pPr>
      <w:r>
        <w:t>E. Strategy reviewed at least annually by the board, linked to business strategy and tracked through KPIs</w:t>
      </w:r>
    </w:p>
    <w:p>
      <w:pPr>
        <w:keepNext/>
        <w:spacing w:before="160"/>
      </w:pPr>
      <w:r>
        <w:rPr>
          <w:b/>
        </w:rPr>
        <w:t>31. [Q17] How are AI use cases identified, prioritised, approved and measured for value?</w:t>
      </w:r>
    </w:p>
    <w:p>
      <w:pPr>
        <w:keepNext/>
      </w:pPr>
      <w:r>
        <w:rPr>
          <w:i/>
          <w:color w:val="6B6B6B"/>
          <w:sz w:val="18"/>
        </w:rPr>
        <w:t>Examples of evidence: intake form, prioritisation criteria, business cases, benefit KPIs, portfolio reviews.</w:t>
      </w:r>
    </w:p>
    <w:p>
      <w:pPr>
        <w:keepNext/>
        <w:spacing w:after="20"/>
        <w:ind w:left="454"/>
      </w:pPr>
      <w:r>
        <w:t>A. No process - AI initiatives start ad hoc and value is not tracked</w:t>
      </w:r>
    </w:p>
    <w:p>
      <w:pPr>
        <w:keepNext/>
        <w:spacing w:after="20"/>
        <w:ind w:left="454"/>
      </w:pPr>
      <w:r>
        <w:t>B. Some use cases discussed informally; business cases are rare</w:t>
      </w:r>
    </w:p>
    <w:p>
      <w:pPr>
        <w:keepNext/>
        <w:spacing w:after="20"/>
        <w:ind w:left="454"/>
      </w:pPr>
      <w:r>
        <w:t>C. Use-case intake exists and initiatives are prioritised, but benefits are not systematically tracked</w:t>
      </w:r>
    </w:p>
    <w:p>
      <w:pPr>
        <w:keepNext/>
        <w:spacing w:after="20"/>
        <w:ind w:left="454"/>
      </w:pPr>
      <w:r>
        <w:t>D. Structured intake and prioritisation by value, feasibility, data readiness and risk; KPIs tracked for major initiatives</w:t>
      </w:r>
    </w:p>
    <w:p>
      <w:pPr>
        <w:keepNext w:val="0"/>
        <w:spacing w:after="20"/>
        <w:ind w:left="454"/>
      </w:pPr>
      <w:r>
        <w:t>E. Portfolio managed as a whole with quarterly value / risk reviews, stop-or-scale decisions, and shadow-AI demand routed into the governed pipeline</w:t>
      </w:r>
    </w:p>
    <w:p>
      <w:pPr>
        <w:pStyle w:val="Heading2"/>
      </w:pPr>
      <w:r>
        <w:t>Data &amp; Technology</w:t>
      </w:r>
    </w:p>
    <w:p>
      <w:pPr>
        <w:keepNext/>
        <w:spacing w:before="160"/>
      </w:pPr>
      <w:r>
        <w:rPr>
          <w:b/>
        </w:rPr>
        <w:t>32. [Q18] Is data used by AI classified, quality-assured, traceable and protected in line with privacy requirements (e.g., Bahrain PDPL)?</w:t>
      </w:r>
    </w:p>
    <w:p>
      <w:pPr>
        <w:keepNext/>
      </w:pPr>
      <w:r>
        <w:rPr>
          <w:i/>
          <w:color w:val="6B6B6B"/>
          <w:sz w:val="18"/>
        </w:rPr>
        <w:t>Examples of evidence: data classification applied to AI, data-readiness assessments, lineage, DPIAs, redaction / anonymisation, transfer assessments.</w:t>
      </w:r>
    </w:p>
    <w:p>
      <w:pPr>
        <w:keepNext/>
        <w:spacing w:after="20"/>
        <w:ind w:left="454"/>
      </w:pPr>
      <w:r>
        <w:t>A. Data used by AI is not classified or controlled; privacy requirements not considered</w:t>
      </w:r>
    </w:p>
    <w:p>
      <w:pPr>
        <w:keepNext/>
        <w:spacing w:after="20"/>
        <w:ind w:left="454"/>
      </w:pPr>
      <w:r>
        <w:t>B. Data classification policy exists but is not applied to AI; privacy reviewed case by case</w:t>
      </w:r>
    </w:p>
    <w:p>
      <w:pPr>
        <w:keepNext/>
        <w:spacing w:after="20"/>
        <w:ind w:left="454"/>
      </w:pPr>
      <w:r>
        <w:t>C. Classification and handling rules apply to AI; DPIAs performed for some AI using personal data</w:t>
      </w:r>
    </w:p>
    <w:p>
      <w:pPr>
        <w:keepNext/>
        <w:spacing w:after="20"/>
        <w:ind w:left="454"/>
      </w:pPr>
      <w:r>
        <w:t>D. Data readiness assessed before approval; lineage and quality monitored; minimisation, anonymisation and prompt redaction applied; DPIAs standard</w:t>
      </w:r>
    </w:p>
    <w:p>
      <w:pPr>
        <w:keepNext w:val="0"/>
        <w:spacing w:after="20"/>
        <w:ind w:left="454"/>
      </w:pPr>
      <w:r>
        <w:t>E. Automated quality, lineage and privacy controls across AI pipelines; data-subject rights and cross-border transfers handled for AI systems</w:t>
      </w:r>
    </w:p>
    <w:p>
      <w:pPr>
        <w:keepNext/>
        <w:spacing w:before="160"/>
      </w:pPr>
      <w:r>
        <w:rPr>
          <w:b/>
        </w:rPr>
        <w:t>33. [Q19] Is there a common AI reference architecture with standard integration patterns, and are AI systems monitored for performance, drift and cost?</w:t>
      </w:r>
    </w:p>
    <w:p>
      <w:pPr>
        <w:keepNext/>
      </w:pPr>
      <w:r>
        <w:rPr>
          <w:i/>
          <w:color w:val="6B6B6B"/>
          <w:sz w:val="18"/>
        </w:rPr>
        <w:t>Examples of evidence: reference architecture, approved platforms, integration / agent patterns, monitoring dashboards, cost reports.</w:t>
      </w:r>
    </w:p>
    <w:p>
      <w:pPr>
        <w:keepNext/>
        <w:spacing w:after="20"/>
        <w:ind w:left="454"/>
      </w:pPr>
      <w:r>
        <w:t>A. No architectural standards; AI solutions built or bought in isolation</w:t>
      </w:r>
    </w:p>
    <w:p>
      <w:pPr>
        <w:keepNext/>
        <w:spacing w:after="20"/>
        <w:ind w:left="454"/>
      </w:pPr>
      <w:r>
        <w:t>B. Some technical guidance exists; monitoring limited to availability</w:t>
      </w:r>
    </w:p>
    <w:p>
      <w:pPr>
        <w:keepNext/>
        <w:spacing w:after="20"/>
        <w:ind w:left="454"/>
      </w:pPr>
      <w:r>
        <w:t>C. Reference architecture drafted; approved platforms and integration patterns for most AI; basic performance monitoring</w:t>
      </w:r>
    </w:p>
    <w:p>
      <w:pPr>
        <w:keepNext/>
        <w:spacing w:after="20"/>
        <w:ind w:left="454"/>
      </w:pPr>
      <w:r>
        <w:t>D. Reference architecture adopted (data, models, agents, security); agent actions via a policy-enforcement gateway; performance, drift and bias monitored with thresholds; kill switches; cost governed</w:t>
      </w:r>
    </w:p>
    <w:p>
      <w:pPr>
        <w:keepNext w:val="0"/>
        <w:spacing w:after="20"/>
        <w:ind w:left="454"/>
      </w:pPr>
      <w:r>
        <w:t>E. Full observability with KRIs and automated responses; governed path from citizen-developed AI to production; platform and vendor dependencies actively managed</w:t>
      </w:r>
    </w:p>
    <w:p>
      <w:pPr>
        <w:keepNext/>
        <w:spacing w:before="160"/>
      </w:pPr>
      <w:r>
        <w:rPr>
          <w:b/>
        </w:rPr>
        <w:t>34. [Q20] Are material AI / ML models independently validated before use and periodically, with a model inventory, performance thresholds and documented limitations?</w:t>
      </w:r>
    </w:p>
    <w:p>
      <w:pPr>
        <w:keepNext/>
      </w:pPr>
      <w:r>
        <w:rPr>
          <w:i/>
          <w:color w:val="6B6B6B"/>
          <w:sz w:val="18"/>
        </w:rPr>
        <w:t>Examples of evidence: model risk policy, model inventory with risk tiers, independent validation reports, performance monitoring, validation-findings tracker.</w:t>
      </w:r>
    </w:p>
    <w:p>
      <w:pPr>
        <w:keepNext/>
        <w:spacing w:after="20"/>
        <w:ind w:left="454"/>
      </w:pPr>
      <w:r>
        <w:t>A. Models are not validated or inventoried</w:t>
      </w:r>
    </w:p>
    <w:p>
      <w:pPr>
        <w:keepNext/>
        <w:spacing w:after="20"/>
        <w:ind w:left="454"/>
      </w:pPr>
      <w:r>
        <w:t>B. Developers test their own models; no independent review</w:t>
      </w:r>
    </w:p>
    <w:p>
      <w:pPr>
        <w:keepNext/>
        <w:spacing w:after="20"/>
        <w:ind w:left="454"/>
      </w:pPr>
      <w:r>
        <w:t>C. Model inventory exists; validation performed for some material models</w:t>
      </w:r>
    </w:p>
    <w:p>
      <w:pPr>
        <w:keepNext/>
        <w:spacing w:after="20"/>
        <w:ind w:left="454"/>
      </w:pPr>
      <w:r>
        <w:t>D. Independent validation before use and on a risk-based cycle; performance thresholds and limitations documented</w:t>
      </w:r>
    </w:p>
    <w:p>
      <w:pPr>
        <w:keepNext w:val="0"/>
        <w:spacing w:after="20"/>
        <w:ind w:left="454"/>
      </w:pPr>
      <w:r>
        <w:t>E. Model risk management aligned to SR 11-7 / PRA SS1/23 principles, with continuous monitoring and findings tracked to closure</w:t>
      </w:r>
    </w:p>
    <w:p>
      <w:pPr>
        <w:pStyle w:val="Heading1"/>
      </w:pPr>
      <w:r>
        <w:t>Thank you</w:t>
      </w:r>
    </w:p>
    <w:p>
      <w:r>
        <w:t>Please submit the online form, or return this document to your Grant Thornton contact. Your report will normally be issued within 5 working days of receipt.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Grant Thornton Bahrain - AI Readiness &amp; Risk Assessment Questionnaire -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4F2D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4F2D7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