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Diganti scopenya jadi buat orang2 yang not well educated + bocil yang belum bisa bedain jenis sampah (intinya buat edukasi sama ningkatin awareness)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alur penggunaan, pertama scan barcode buat aktivasi si tempat sampah nya, baru scan sampah, taruh sampah di tengah tempat sampah, biarkan tempat sampah menentukan jenis sampahnya</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rekomendasi contoh sampah yang jenis nya sama setelah scanning object, setelah user scan botol dan klik ok, maka akan muncul pop up dengan informasi contoh jenis sampah yang sama dengan botol, yakni anorganik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edukasi recycle : setelah di scanning object, output berupa informasi sampah, cara mengelola sampah + kerajinan sampah. Target : Paud/ SD atau dewasa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image yang terlalu deket mending dropout aja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tambahin image context kek kasi orang sebelah botol, kasi tangan biar ga focus ke object doang</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