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Clinical Data Handling and Privacy Policy</w:t>
      </w:r>
    </w:p>
    <w:p>
      <w:r>
        <w:rPr>
          <w:i/>
          <w:iCs/>
        </w:rPr>
        <w:t xml:space="preserve">Document ID: POL-COMP-014   |   Version 2.3   |   Effective Date: 01-Feb-2026</w:t>
      </w:r>
    </w:p>
    <w:p/>
    <w:p>
      <w:pPr>
        <w:pStyle w:val="Heading1"/>
      </w:pPr>
      <w:r>
        <w:t xml:space="preserve">1. Purpose</w:t>
      </w:r>
    </w:p>
    <w:p>
      <w:r>
        <w:t xml:space="preserve">This policy establishes the requirements for the collection, storage, processing, and disclosure of clinical trial participant data across all studies sponsored or managed by Meridian Biotherapeutics Inc. It applies to all employees, contractors, clinical research organizations (CROs), and third-party vendors who handle participant data on behalf of the company.</w:t>
      </w:r>
    </w:p>
    <w:p>
      <w:pPr>
        <w:pStyle w:val="Heading1"/>
      </w:pPr>
      <w:r>
        <w:t xml:space="preserve">2. Scope</w:t>
      </w:r>
    </w:p>
    <w:p>
      <w:r>
        <w:t xml:space="preserve">This policy covers protected health information (PHI), personally identifiable information (PII), and any derived clinical or genomic data collected during the conduct of clinical trials, observational studies, and post-marketing surveillance activities. It applies regardless of the format in which the data is stored, including electronic health records, case report forms, biological samples, and imaging data.</w:t>
      </w:r>
    </w:p>
    <w:p>
      <w:pPr>
        <w:pStyle w:val="Heading1"/>
      </w:pPr>
      <w:r>
        <w:t xml:space="preserve">3. Regulatory Framework</w:t>
      </w:r>
    </w:p>
    <w:p>
      <w:r>
        <w:t xml:space="preserve">Data handling practices under this policy must comply with the following regulations, as applicable to the jurisdiction of data collection:</w:t>
      </w:r>
    </w:p>
    <w:p>
      <w:pPr>
        <w:pStyle w:val="ListParagraph"/>
        <w:numPr>
          <w:ilvl w:val="0"/>
          <w:numId w:val="2"/>
        </w:numPr>
      </w:pPr>
      <w:r>
        <w:t xml:space="preserve">The Health Insurance Portability and Accountability Act (HIPAA) for data collected in the United States.</w:t>
      </w:r>
    </w:p>
    <w:p>
      <w:pPr>
        <w:pStyle w:val="ListParagraph"/>
        <w:numPr>
          <w:ilvl w:val="0"/>
          <w:numId w:val="2"/>
        </w:numPr>
      </w:pPr>
      <w:r>
        <w:t xml:space="preserve">The General Data Protection Regulation (GDPR) for data collected within the European Union or involving EU data subjects.</w:t>
      </w:r>
    </w:p>
    <w:p>
      <w:pPr>
        <w:pStyle w:val="ListParagraph"/>
        <w:numPr>
          <w:ilvl w:val="0"/>
          <w:numId w:val="2"/>
        </w:numPr>
      </w:pPr>
      <w:r>
        <w:t xml:space="preserve">The Digital Personal Data Protection Act (DPDP Act) for data collected within India.</w:t>
      </w:r>
    </w:p>
    <w:p>
      <w:pPr>
        <w:pStyle w:val="ListParagraph"/>
        <w:numPr>
          <w:ilvl w:val="0"/>
          <w:numId w:val="2"/>
        </w:numPr>
      </w:pPr>
      <w:r>
        <w:t xml:space="preserve">21 CFR Part 11 for electronic records and electronic signatures used in FDA-regulated studies.</w:t>
      </w:r>
    </w:p>
    <w:p/>
    <w:p>
      <w:pPr>
        <w:pStyle w:val="Heading1"/>
      </w:pPr>
      <w:r>
        <w:t xml:space="preserve">4. Data Classification</w:t>
      </w:r>
    </w:p>
    <w:p>
      <w:pPr>
        <w:pStyle w:val="Heading2"/>
      </w:pPr>
      <w:r>
        <w:t xml:space="preserve">4.1 Restricted Data</w:t>
      </w:r>
    </w:p>
    <w:p>
      <w:r>
        <w:t xml:space="preserve">Restricted data includes direct identifiers such as participant name, date of birth, national identification numbers, and contact information. Restricted data must be encrypted at rest and in transit using AES-256 or equivalent, and access must be limited to personnel with a documented need-to-know.</w:t>
      </w:r>
    </w:p>
    <w:p>
      <w:pPr>
        <w:pStyle w:val="Heading2"/>
      </w:pPr>
      <w:r>
        <w:t xml:space="preserve">4.2 Confidential Data</w:t>
      </w:r>
    </w:p>
    <w:p>
      <w:r>
        <w:t xml:space="preserve">Confidential data includes pseudonymized clinical data linked to a study identifier rather than a direct identifier. This data may be shared with internal analytics teams and approved external partners under a signed data use agreement.</w:t>
      </w:r>
    </w:p>
    <w:p>
      <w:pPr>
        <w:pStyle w:val="Heading2"/>
      </w:pPr>
      <w:r>
        <w:t xml:space="preserve">4.3 De-identified Data</w:t>
      </w:r>
    </w:p>
    <w:p>
      <w:r>
        <w:t xml:space="preserve">De-identified data has had all 18 HIPAA identifiers removed and cannot reasonably be used to re-identify a participant. De-identified data may be used for internal research, publication, and inclusion in aggregate reporting without additional participant consent.</w:t>
      </w:r>
    </w:p>
    <w:p>
      <w:pPr>
        <w:pStyle w:val="Heading1"/>
      </w:pPr>
      <w:r>
        <w:t xml:space="preserve">5. Access Controls</w:t>
      </w:r>
    </w:p>
    <w:p>
      <w:r>
        <w:t xml:space="preserve">Access to restricted and confidential data must be granted on a role-based basis and reviewed quarterly by the Data Governance Committee. All access to production systems containing participant data must be logged, and logs must be retained for a minimum of seven years. Multi-factor authentication is mandatory for any system storing restricted data.</w:t>
      </w:r>
    </w:p>
    <w:p>
      <w:pPr>
        <w:pStyle w:val="Heading1"/>
      </w:pPr>
      <w:r>
        <w:t xml:space="preserve">6. Data Retention and Disposal</w:t>
      </w:r>
    </w:p>
    <w:p>
      <w:r>
        <w:t xml:space="preserve">Clinical trial data must be retained for a minimum of 15 years following study completion, or longer where required by local regulation or the terms of a specific study protocol. Upon expiration of the retention period, restricted and confidential data must be securely destroyed using a documented and auditable disposal process, and a certificate of destruction must be issued to the Data Governance Committee.</w:t>
      </w:r>
    </w:p>
    <w:p>
      <w:pPr>
        <w:pStyle w:val="Heading1"/>
      </w:pPr>
      <w:r>
        <w:t xml:space="preserve">7. Third-Party Vendor Requirements</w:t>
      </w:r>
    </w:p>
    <w:p>
      <w:r>
        <w:t xml:space="preserve">Any third-party vendor or CRO engaged to process participant data on behalf of the company must sign a Data Processing Agreement (DPA) prior to receiving access to any restricted or confidential data. Vendors must undergo a security assessment at onboarding and annually thereafter, and must notify the company of any suspected data breach within 24 hours of discovery.</w:t>
      </w:r>
    </w:p>
    <w:p>
      <w:pPr>
        <w:pStyle w:val="Heading1"/>
      </w:pPr>
      <w:r>
        <w:t xml:space="preserve">8. Breach Notification Procedure</w:t>
      </w:r>
    </w:p>
    <w:p>
      <w:r>
        <w:t xml:space="preserve">In the event of a suspected or confirmed data breach involving participant data, the discovering party must immediately notify the Data Protection Officer (DPO). The DPO will coordinate an initial risk assessment within 24 hours and, where required by applicable law, ensure that regulatory authorities are notified within 72 hours of breach confirmation. Affected participants will be notified in accordance with the requirements of the relevant jurisdiction and the study's informed consent terms.</w:t>
      </w:r>
    </w:p>
    <w:p>
      <w:pPr>
        <w:pStyle w:val="Heading1"/>
      </w:pPr>
      <w:r>
        <w:t xml:space="preserve">9. Training Requirements</w:t>
      </w:r>
    </w:p>
    <w:p>
      <w:r>
        <w:t xml:space="preserve">All personnel with access to participant data must complete data privacy and Good Clinical Practice (GCP) training prior to being granted system access, and must complete refresher training annually. Training completion is tracked centrally and audited as part of the annual compliance review.</w:t>
      </w:r>
    </w:p>
    <w:p>
      <w:pPr>
        <w:pStyle w:val="Heading1"/>
      </w:pPr>
      <w:r>
        <w:t xml:space="preserve">10. Policy Review and Ownership</w:t>
      </w:r>
    </w:p>
    <w:p>
      <w:r>
        <w:t xml:space="preserve">This policy is owned by the Chief Compliance Officer and reviewed annually, or sooner in response to significant regulatory change. Proposed amendments must be approved by the Data Governance Committee before taking effect.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2026-08-01T23:55:40.842Z</dcterms:created>
  <dcterms:modified xsi:type="dcterms:W3CDTF">2026-08-01T23:55:40.856Z</dcterms:modified>
</cp:coreProperties>
</file>

<file path=docProps/custom.xml><?xml version="1.0" encoding="utf-8"?>
<Properties xmlns="http://schemas.openxmlformats.org/officeDocument/2006/custom-properties" xmlns:vt="http://schemas.openxmlformats.org/officeDocument/2006/docPropsVTypes"/>
</file>