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360" w:after="120"/>
      </w:pPr>
      <w:r>
        <w:rPr>
          <w:rFonts w:ascii="Calibri" w:hAnsi="Calibri"/>
          <w:b/>
          <w:sz w:val="52"/>
          <w:color w:val="0F172A"/>
        </w:rPr>
        <w:t>Water Quality Monitoring System</w:t>
      </w:r>
    </w:p>
    <w:p>
      <w:pPr>
        <w:jc w:val="center"/>
        <w:spacing w:before="0" w:after="360"/>
      </w:pPr>
      <w:r>
        <w:rPr>
          <w:rFonts w:ascii="Calibri" w:hAnsi="Calibri"/>
          <w:i/>
          <w:sz w:val="26"/>
          <w:color w:val="475569"/>
        </w:rPr>
        <w:t>Comprehensive Technical Architecture, Tech Stack, Hardware Specifications &amp; Enterprise Workflow Documentation</w:t>
      </w:r>
    </w:p>
    <w:p>
      <w:pPr>
        <w:spacing w:before="60" w:after="100"/>
      </w:pPr>
      <w:r>
        <w:rPr>
          <w:rFonts w:ascii="Calibri" w:hAnsi="Calibri"/>
          <w:i/>
          <w:color w:val="64748B"/>
          <w:sz w:val="22"/>
        </w:rPr>
        <w:t xml:space="preserve">Document Version: 1.1.0 | Architecture Specification | System Classification: Enterprise Multi-Tenant IoT</w:t>
      </w:r>
    </w:p>
    <w:p>
      <w:pPr>
        <w:pStyle w:val="Heading1"/>
        <w:spacing w:before="300" w:after="100"/>
      </w:pPr>
      <w:r>
        <w:rPr>
          <w:rFonts w:ascii="Calibri" w:hAnsi="Calibri"/>
          <w:b/>
          <w:sz w:val="36"/>
          <w:color w:val="0F172A"/>
        </w:rPr>
        <w:t>1. Executive Summary &amp; Overview</w:t>
      </w:r>
    </w:p>
    <w:p>
      <w:pPr>
        <w:spacing w:before="60" w:after="100"/>
      </w:pPr>
      <w:r>
        <w:rPr>
          <w:rFonts w:ascii="Calibri" w:hAnsi="Calibri"/>
          <w:color w:val="334155"/>
          <w:sz w:val="22"/>
        </w:rPr>
        <w:t xml:space="preserve">The Water Quality Monitoring System is an end-to-end, enterprise-grade IoT platform engineered for automated, real-time testing and monitoring of water safety across municipal, industrial, or commercial facilities. The system continuously samples three critical physical and chemical metrics—namely pH, Turbidity (optical clarity / suspended particulates), and Total Dissolved Solids (TDS / mineral concentration)—using an edge-deployed multi-sensor array and an ESP32 microcontroller.</w:t>
      </w:r>
    </w:p>
    <w:p>
      <w:pPr>
        <w:spacing w:before="60" w:after="100"/>
      </w:pPr>
      <w:r>
        <w:rPr>
          <w:rFonts w:ascii="Calibri" w:hAnsi="Calibri"/>
          <w:color w:val="334155"/>
          <w:sz w:val="22"/>
        </w:rPr>
        <w:t xml:space="preserve">Data is securely transmitted from edge hardware to cloud telemetry brokers (ThingSpeak) across four designated data fields (Field 1: pH, Field 2: Turbidity, Field 3: TDS, Field 4: Hardware ID) and synced with a high-availability serverless backend (Node.js/Express on Vercel) backed by MongoDB Atlas. A cross-platform mobile application built with React Native and Expo provides role-tailored interfaces for SuperAdmins, Company Administrators, and Field Managers.</w:t>
      </w:r>
    </w:p>
    <w:p>
      <w:pPr>
        <w:pStyle w:val="Heading1"/>
        <w:spacing w:before="300" w:after="100"/>
      </w:pPr>
      <w:r>
        <w:rPr>
          <w:rFonts w:ascii="Calibri" w:hAnsi="Calibri"/>
          <w:b/>
          <w:sz w:val="36"/>
          <w:color w:val="0F172A"/>
        </w:rPr>
        <w:t>2. Full Technology Stack &amp; Languages Used</w:t>
      </w:r>
    </w:p>
    <w:p>
      <w:pPr>
        <w:spacing w:before="60" w:after="100"/>
      </w:pPr>
      <w:r>
        <w:rPr>
          <w:rFonts w:ascii="Calibri" w:hAnsi="Calibri"/>
          <w:color w:val="334155"/>
          <w:sz w:val="22"/>
        </w:rPr>
        <w:t xml:space="preserve">The system leverages modern, production-grade languages and frameworks categorized across five distinct architectural tiers:</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Tier / Layer</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Language / Framework</w:t>
            </w:r>
          </w:p>
        </w:tc>
        <w:tc>
          <w:tcPr>
            <w:tcW w:w="2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Tools &amp; Packages</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Key Responsibilities</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Frontend (Mobile/Web)</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TypeScript, React Native (Expo SDK 54)</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Expo Router v6, React Navigation, Victory Native, Zustand, Axios</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Cross-platform Android APK, iOS, &amp; Web UI; auto-polling live telemetry; real-time WQI calculation; multi-tenant auth.</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Backend API Service</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JavaScript (Node.js 20+), Express.js</w:t>
            </w:r>
          </w:p>
        </w:tc>
        <w:tc>
          <w:tcPr>
            <w:tcW w:w="2400" w:type="dxa"/>
            <w:shd w:val="clear" w:color="auto" w:fill="F8FAFC"/>
            <w:tcMar>
              <w:top w:w="100" w:type="dxa"/>
              <w:bottom w:w="100" w:type="dxa"/>
              <w:left w:w="140" w:type="dxa"/>
              <w:right w:w="140" w:type="dxa"/>
            </w:tcMar>
          </w:tcPr>
          <w:p>
            <w:pPr>
              <w:spacing w:before="30" w:after="30"/>
            </w:pPr>
            <w:r>
              <w:rPr>
                <w:rFonts w:ascii="Calibri" w:hAnsi="Calibri"/>
                <w:color w:val="1E293B"/>
                <w:sz w:val="20"/>
              </w:rPr>
              <w:t>Vercel Serverless, Mongoose ODM, JWT, bcryptjs, Helmet, CORS</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Stateless REST API endpoints; role-based access control; ThingSpeak integration; device health evaluation; rate limiting.</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Database &amp; Storage</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MongoDB Atlas (NoSQL Document Store)</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Mongoose Schema Validation, Compound Indexes, Geospatial (2dsphere)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Stores companies, users, roles, devices, time-series sensor readings, and audit trails with company-level isolation.</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IoT Telemetry Cloud</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HTTP REST / MQTT Protocol</w:t>
            </w:r>
          </w:p>
        </w:tc>
        <w:tc>
          <w:tcPr>
            <w:tcW w:w="2400" w:type="dxa"/>
            <w:shd w:val="clear" w:color="auto" w:fill="F8FAFC"/>
            <w:tcMar>
              <w:top w:w="100" w:type="dxa"/>
              <w:bottom w:w="100" w:type="dxa"/>
              <w:left w:w="140" w:type="dxa"/>
              <w:right w:w="140" w:type="dxa"/>
            </w:tcMar>
          </w:tcPr>
          <w:p>
            <w:pPr>
              <w:spacing w:before="30" w:after="30"/>
            </w:pPr>
            <w:r>
              <w:rPr>
                <w:rFonts w:ascii="Calibri" w:hAnsi="Calibri"/>
                <w:color w:val="1E293B"/>
                <w:sz w:val="20"/>
              </w:rPr>
              <w:t>ThingSpeak Cloud Broker (MathWorks)</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High-speed real-time data ingestion for 4 data fields per channel; public/private API key access.</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Edge Hardware / IoT</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C / C++ (Embedded Systems)</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Arduino IDE / ESP-IDF Framework, ADC calibration curves</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Reads analog probe voltages; executes noise filtering; translates millivolts to physical units (pH, NTU, ppm); WiFi HTTP POST dispatch.</w:t>
            </w:r>
          </w:p>
        </w:tc>
      </w:tr>
    </w:tbl>
    <w:p>
      <w:pPr>
        <w:pStyle w:val="Heading1"/>
        <w:spacing w:before="300" w:after="100"/>
      </w:pPr>
      <w:r>
        <w:rPr>
          <w:rFonts w:ascii="Calibri" w:hAnsi="Calibri"/>
          <w:b/>
          <w:sz w:val="36"/>
          <w:color w:val="0F172A"/>
        </w:rPr>
        <w:t>3. IoT Hardware Layer &amp; Sensor Specifications</w:t>
      </w:r>
    </w:p>
    <w:p>
      <w:pPr>
        <w:spacing w:before="60" w:after="100"/>
      </w:pPr>
      <w:r>
        <w:rPr>
          <w:rFonts w:ascii="Calibri" w:hAnsi="Calibri"/>
          <w:color w:val="334155"/>
          <w:sz w:val="22"/>
        </w:rPr>
        <w:t xml:space="preserve">The physical monitoring station is deployed at water reservoirs, treatment tanks, or distribution nodes. The edge station consists of an ESP32 microcontroller connected to three physical sensor probes along with hardware telemetry identification:</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Sensor Probe / Channel</w:t>
            </w:r>
          </w:p>
        </w:tc>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Target Parameter</w:t>
            </w:r>
          </w:p>
        </w:tc>
        <w:tc>
          <w:tcPr>
            <w:tcW w:w="15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Operating Range</w:t>
            </w:r>
          </w:p>
        </w:tc>
        <w:tc>
          <w:tcPr>
            <w:tcW w:w="19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WHO / Safe Drinking Standard</w:t>
            </w:r>
          </w:p>
        </w:tc>
        <w:tc>
          <w:tcPr>
            <w:tcW w:w="1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Electrical Interface</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Field 1: SEN0161 Analog Probe</w:t>
            </w:r>
          </w:p>
        </w:tc>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pH (Acidity / Alkalinity)</w:t>
            </w:r>
          </w:p>
        </w:tc>
        <w:tc>
          <w:tcPr>
            <w:tcW w:w="1500" w:type="dxa"/>
            <w:shd w:val="clear" w:color="auto" w:fill="FFFFFF"/>
            <w:tcMar>
              <w:top w:w="100" w:type="dxa"/>
              <w:bottom w:w="100" w:type="dxa"/>
              <w:left w:w="140" w:type="dxa"/>
              <w:right w:w="140" w:type="dxa"/>
            </w:tcMar>
          </w:tcPr>
          <w:p>
            <w:pPr>
              <w:spacing w:before="30" w:after="30"/>
            </w:pPr>
            <w:r>
              <w:rPr>
                <w:rFonts w:ascii="Calibri" w:hAnsi="Calibri"/>
                <w:color w:val="1E293B"/>
                <w:sz w:val="20"/>
              </w:rPr>
              <w:t>0.0 - 14.0 pH</w:t>
            </w:r>
          </w:p>
        </w:tc>
        <w:tc>
          <w:tcPr>
            <w:tcW w:w="1900" w:type="dxa"/>
            <w:shd w:val="clear" w:color="auto" w:fill="FFFFFF"/>
            <w:tcMar>
              <w:top w:w="100" w:type="dxa"/>
              <w:bottom w:w="100" w:type="dxa"/>
              <w:left w:w="140" w:type="dxa"/>
              <w:right w:w="140" w:type="dxa"/>
            </w:tcMar>
          </w:tcPr>
          <w:p>
            <w:pPr>
              <w:spacing w:before="30" w:after="30"/>
            </w:pPr>
            <w:r>
              <w:rPr>
                <w:rFonts w:ascii="Calibri" w:hAnsi="Calibri"/>
                <w:color w:val="1E293B"/>
                <w:sz w:val="20"/>
              </w:rPr>
              <w:t>6.5 - 8.5 pH (Neutral: 7.0)</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Analog (ADC Pin, 0 - 3.3V)</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Field 2: TS-300B Optical Sensor</w:t>
            </w:r>
          </w:p>
        </w:tc>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Turbidity (Clarity/Suspension)</w:t>
            </w:r>
          </w:p>
        </w:tc>
        <w:tc>
          <w:tcPr>
            <w:tcW w:w="1500" w:type="dxa"/>
            <w:shd w:val="clear" w:color="auto" w:fill="F8FAFC"/>
            <w:tcMar>
              <w:top w:w="100" w:type="dxa"/>
              <w:bottom w:w="100" w:type="dxa"/>
              <w:left w:w="140" w:type="dxa"/>
              <w:right w:w="140" w:type="dxa"/>
            </w:tcMar>
          </w:tcPr>
          <w:p>
            <w:pPr>
              <w:spacing w:before="30" w:after="30"/>
            </w:pPr>
            <w:r>
              <w:rPr>
                <w:rFonts w:ascii="Calibri" w:hAnsi="Calibri"/>
                <w:color w:val="1E293B"/>
                <w:sz w:val="20"/>
              </w:rPr>
              <w:t>0 - 3000 NTU</w:t>
            </w:r>
          </w:p>
        </w:tc>
        <w:tc>
          <w:tcPr>
            <w:tcW w:w="1900" w:type="dxa"/>
            <w:shd w:val="clear" w:color="auto" w:fill="F8FAFC"/>
            <w:tcMar>
              <w:top w:w="100" w:type="dxa"/>
              <w:bottom w:w="100" w:type="dxa"/>
              <w:left w:w="140" w:type="dxa"/>
              <w:right w:w="140" w:type="dxa"/>
            </w:tcMar>
          </w:tcPr>
          <w:p>
            <w:pPr>
              <w:spacing w:before="30" w:after="30"/>
            </w:pPr>
            <w:r>
              <w:rPr>
                <w:rFonts w:ascii="Calibri" w:hAnsi="Calibri"/>
                <w:color w:val="1E293B"/>
                <w:sz w:val="20"/>
              </w:rPr>
              <w:t>&lt; 5.0 NTU (Ideal: &lt; 1.0 NTU)</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Analog Phototransistor (ADC Pin)</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Field 3: Gravity Analog TDS Probe</w:t>
            </w:r>
          </w:p>
        </w:tc>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Total Dissolved Solids (TDS)</w:t>
            </w:r>
          </w:p>
        </w:tc>
        <w:tc>
          <w:tcPr>
            <w:tcW w:w="1500" w:type="dxa"/>
            <w:shd w:val="clear" w:color="auto" w:fill="FFFFFF"/>
            <w:tcMar>
              <w:top w:w="100" w:type="dxa"/>
              <w:bottom w:w="100" w:type="dxa"/>
              <w:left w:w="140" w:type="dxa"/>
              <w:right w:w="140" w:type="dxa"/>
            </w:tcMar>
          </w:tcPr>
          <w:p>
            <w:pPr>
              <w:spacing w:before="30" w:after="30"/>
            </w:pPr>
            <w:r>
              <w:rPr>
                <w:rFonts w:ascii="Calibri" w:hAnsi="Calibri"/>
                <w:color w:val="1E293B"/>
                <w:sz w:val="20"/>
              </w:rPr>
              <w:t>0 - 1000 ppm</w:t>
            </w:r>
          </w:p>
        </w:tc>
        <w:tc>
          <w:tcPr>
            <w:tcW w:w="1900" w:type="dxa"/>
            <w:shd w:val="clear" w:color="auto" w:fill="FFFFFF"/>
            <w:tcMar>
              <w:top w:w="100" w:type="dxa"/>
              <w:bottom w:w="100" w:type="dxa"/>
              <w:left w:w="140" w:type="dxa"/>
              <w:right w:w="140" w:type="dxa"/>
            </w:tcMar>
          </w:tcPr>
          <w:p>
            <w:pPr>
              <w:spacing w:before="30" w:after="30"/>
            </w:pPr>
            <w:r>
              <w:rPr>
                <w:rFonts w:ascii="Calibri" w:hAnsi="Calibri"/>
                <w:color w:val="1E293B"/>
                <w:sz w:val="20"/>
              </w:rPr>
              <w:t>&lt; 300 ppm (Acceptable: &lt; 500 ppm)</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Analog Voltage Divider (ADC Pin)</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Field 4: Hardware / Station Identifier</w:t>
            </w:r>
          </w:p>
        </w:tc>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Hardware ID &amp; Telemetry Metadata</w:t>
            </w:r>
          </w:p>
        </w:tc>
        <w:tc>
          <w:tcPr>
            <w:tcW w:w="1500" w:type="dxa"/>
            <w:shd w:val="clear" w:color="auto" w:fill="F8FAFC"/>
            <w:tcMar>
              <w:top w:w="100" w:type="dxa"/>
              <w:bottom w:w="100" w:type="dxa"/>
              <w:left w:w="140" w:type="dxa"/>
              <w:right w:w="140" w:type="dxa"/>
            </w:tcMar>
          </w:tcPr>
          <w:p>
            <w:pPr>
              <w:spacing w:before="30" w:after="30"/>
            </w:pPr>
            <w:r>
              <w:rPr>
                <w:rFonts w:ascii="Calibri" w:hAnsi="Calibri"/>
                <w:color w:val="1E293B"/>
                <w:sz w:val="20"/>
              </w:rPr>
              <w:t>Alphanumeric / Station Code</w:t>
            </w:r>
          </w:p>
        </w:tc>
        <w:tc>
          <w:tcPr>
            <w:tcW w:w="1900" w:type="dxa"/>
            <w:shd w:val="clear" w:color="auto" w:fill="F8FAFC"/>
            <w:tcMar>
              <w:top w:w="100" w:type="dxa"/>
              <w:bottom w:w="100" w:type="dxa"/>
              <w:left w:w="140" w:type="dxa"/>
              <w:right w:w="140" w:type="dxa"/>
            </w:tcMar>
          </w:tcPr>
          <w:p>
            <w:pPr>
              <w:spacing w:before="30" w:after="30"/>
            </w:pPr>
            <w:r>
              <w:rPr>
                <w:rFonts w:ascii="Calibri" w:hAnsi="Calibri"/>
                <w:color w:val="1E293B"/>
                <w:sz w:val="20"/>
              </w:rPr>
              <w:t>Validates originating device identity</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Firmware Constant / MAC Address</w:t>
            </w:r>
          </w:p>
        </w:tc>
      </w:tr>
    </w:tbl>
    <w:p>
      <w:pPr>
        <w:spacing w:before="60" w:after="100"/>
      </w:pPr>
      <w:r>
        <w:rPr>
          <w:rFonts w:ascii="Calibri" w:hAnsi="Calibri"/>
          <w:b/>
          <w:color w:val="0F172A"/>
          <w:sz w:val="22"/>
        </w:rPr>
        <w:t>Hardware Lifecycle: </w:t>
      </w:r>
      <w:r>
        <w:rPr>
          <w:rFonts w:ascii="Calibri" w:hAnsi="Calibri"/>
          <w:color w:val="334155"/>
          <w:sz w:val="22"/>
        </w:rPr>
        <w:t xml:space="preserve">Edge Operational Cycle:</w:t>
      </w:r>
    </w:p>
    <w:p>
      <w:pPr>
        <w:spacing w:before="60" w:after="100"/>
        <w:ind w:left="400" w:hanging="200"/>
      </w:pPr>
      <w:r>
        <w:rPr>
          <w:rFonts w:ascii="Calibri" w:hAnsi="Calibri"/>
          <w:b/>
          <w:color w:val="2563EB"/>
        </w:rPr>
        <w:t>• </w:t>
      </w:r>
      <w:r>
        <w:rPr>
          <w:rFonts w:ascii="Calibri" w:hAnsi="Calibri"/>
          <w:color w:val="334155"/>
          <w:sz w:val="22"/>
        </w:rPr>
        <w:t xml:space="preserve">1. Microcontroller initializes Wi-Fi connectivity and reads calibrated ADC voltages from the 3 sensor GPIO pins (pH, Turbidity, TDS).</w:t>
      </w:r>
    </w:p>
    <w:p>
      <w:pPr>
        <w:spacing w:before="60" w:after="100"/>
        <w:ind w:left="400" w:hanging="200"/>
      </w:pPr>
      <w:r>
        <w:rPr>
          <w:rFonts w:ascii="Calibri" w:hAnsi="Calibri"/>
          <w:b/>
          <w:color w:val="2563EB"/>
        </w:rPr>
        <w:t>• </w:t>
      </w:r>
      <w:r>
        <w:rPr>
          <w:rFonts w:ascii="Calibri" w:hAnsi="Calibri"/>
          <w:color w:val="334155"/>
          <w:sz w:val="22"/>
        </w:rPr>
        <w:t xml:space="preserve">2. Hardware polynomial equations convert sensor millivolts into standard physical units (pH, NTU, ppm).</w:t>
      </w:r>
    </w:p>
    <w:p>
      <w:pPr>
        <w:spacing w:before="60" w:after="100"/>
        <w:ind w:left="400" w:hanging="200"/>
      </w:pPr>
      <w:r>
        <w:rPr>
          <w:rFonts w:ascii="Calibri" w:hAnsi="Calibri"/>
          <w:b/>
          <w:color w:val="2563EB"/>
        </w:rPr>
        <w:t>• </w:t>
      </w:r>
      <w:r>
        <w:rPr>
          <w:rFonts w:ascii="Calibri" w:hAnsi="Calibri"/>
          <w:color w:val="334155"/>
          <w:sz w:val="22"/>
        </w:rPr>
        <w:t xml:space="preserve">3. The ESP32 dispatches an HTTP GET/POST payload to the ThingSpeak REST API: https://api.thingspeak.com/update?api_key=WRITE_KEY&amp;field1=pH&amp;field2=Turbidity&amp;field3=TDS&amp;field4=Hardware_ID.</w:t>
      </w:r>
    </w:p>
    <w:p>
      <w:pPr>
        <w:spacing w:before="60" w:after="100"/>
        <w:ind w:left="400" w:hanging="200"/>
      </w:pPr>
      <w:r>
        <w:rPr>
          <w:rFonts w:ascii="Calibri" w:hAnsi="Calibri"/>
          <w:b/>
          <w:color w:val="2563EB"/>
        </w:rPr>
        <w:t>• </w:t>
      </w:r>
      <w:r>
        <w:rPr>
          <w:rFonts w:ascii="Calibri" w:hAnsi="Calibri"/>
          <w:color w:val="334155"/>
          <w:sz w:val="22"/>
        </w:rPr>
        <w:t xml:space="preserve">4. The device goes into deep/light sleep for 15-30 seconds before repeating the measurement cycle.</w:t>
      </w:r>
    </w:p>
    <w:p>
      <w:pPr>
        <w:pStyle w:val="Heading1"/>
        <w:spacing w:before="300" w:after="100"/>
      </w:pPr>
      <w:r>
        <w:rPr>
          <w:rFonts w:ascii="Calibri" w:hAnsi="Calibri"/>
          <w:b/>
          <w:sz w:val="36"/>
          <w:color w:val="0F172A"/>
        </w:rPr>
        <w:t>4. Database Architecture &amp; Data Schemas (MongoDB Atlas)</w:t>
      </w:r>
    </w:p>
    <w:p>
      <w:pPr>
        <w:spacing w:before="60" w:after="100"/>
      </w:pPr>
      <w:r>
        <w:rPr>
          <w:rFonts w:ascii="Calibri" w:hAnsi="Calibri"/>
          <w:color w:val="334155"/>
          <w:sz w:val="22"/>
        </w:rPr>
        <w:t xml:space="preserve">The system uses Mongoose ODM to enforce strict document schemas on MongoDB Atlas with multi-tenant company indexing:</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1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Collection / Model</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Core Fields &amp; Data Types</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Indexed Keys</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Operational Purpose</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(String), plan (String), status (String), contactEmail (String)</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_id, name (unique)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Defines tenant organizations (e.g. municipal water boards, beverage companies).</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name (String), email (String), passwordHash (String), role (ObjectId), company (ObjectId), isActive (Boolean)</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email (unique), company + role</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Stores user identities, hashed passwords (bcrypt), and organization association.</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Role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(String), permissions (Array of Strings)</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(unique)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Role definitions: SuperAdmin, CompanyAdmin, Manager, Viewer.</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Device</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deviceId (String), name (String), company (ObjectId), assignedManager (ObjectId), channelId (String), readKey (String), fieldMappings (Array: pH, Turbidity, TDS, Hardware ID), status (String), lastDataReceived (Date)</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company + deviceId (unique), company + channelId (unique), assignedManager</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Fleet registry; binds physical devices to ThingSpeak channels and assigns managers.</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WaterQualityReading</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 (ObjectId), timestamp (Date), pH (Number), turbidity (Number), dissolvedOxygen (Number, optional), location (GeoJSON Point)</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 + timestamp (desc), location (2dsphere)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Historical archive for timeseries analysis, compliance audits, and GIS mapping.</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AuditLog</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 (ObjectId), action (String), target (String), details (Object), ipAddress (String)</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 createdAt</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Immutable trail of administrative changes (threshold adjustments, user creation).</w:t>
            </w:r>
          </w:p>
        </w:tc>
      </w:tr>
    </w:tbl>
    <w:p>
      <w:pPr>
        <w:pStyle w:val="Heading1"/>
        <w:spacing w:before="300" w:after="100"/>
      </w:pPr>
      <w:r>
        <w:rPr>
          <w:rFonts w:ascii="Calibri" w:hAnsi="Calibri"/>
          <w:b/>
          <w:sz w:val="36"/>
          <w:color w:val="0F172A"/>
        </w:rPr>
        <w:t>5. Role Hierarchy &amp; Access Matrix</w:t>
      </w:r>
    </w:p>
    <w:p>
      <w:pPr>
        <w:spacing w:before="60" w:after="100"/>
      </w:pPr>
      <w:r>
        <w:rPr>
          <w:rFonts w:ascii="Calibri" w:hAnsi="Calibri"/>
          <w:color w:val="334155"/>
          <w:sz w:val="22"/>
        </w:rPr>
        <w:t xml:space="preserve">The system implements strict Role-Based Access Control (RBAC) across three primary operational tiers:</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Functional Capability</w:t>
            </w:r>
          </w:p>
        </w:tc>
        <w:tc>
          <w:tcPr>
            <w:tcW w:w="23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SuperAdmin (Platform Owner)</w:t>
            </w:r>
          </w:p>
        </w:tc>
        <w:tc>
          <w:tcPr>
            <w:tcW w:w="23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Company Admin (Organization)</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Manager / Site Operator</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Platform-Wide Statistics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Full access across all companies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Restricted to own company</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Restricted to assigned devices</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Manage Companies / Tenants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Create, edit, suspend, delete companies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No access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No access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User Provisioning</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Provision any user or Company Admin</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Create Managers within own company</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Read-only team view</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IoT Device Fleet Registration</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Full create, edit, delete access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Configure &amp; assign devices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Read-only device status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ThingSpeak Channel Binding</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Bind Channel IDs &amp; Read/Write keys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Bind Channel IDs &amp; Read keys</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No key access (security protected)</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Configure Threshold Limits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Set global &amp; custom thresholds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Set custom company thresholds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View active threshold boundaries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Live Telemetry &amp; Dashboard</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Global dashboard across all fleets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Company-wide device dashboard</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Real-time assigned dashboard</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Emergency Alerts &amp; WQI</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System-wide critical alert alerts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Company safety notifications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Direct site alert notifications</w:t>
            </w:r>
          </w:p>
        </w:tc>
      </w:tr>
    </w:tbl>
    <w:p>
      <w:pPr>
        <w:pStyle w:val="Heading1"/>
        <w:spacing w:before="300" w:after="100"/>
      </w:pPr>
      <w:r>
        <w:rPr>
          <w:rFonts w:ascii="Calibri" w:hAnsi="Calibri"/>
          <w:b/>
          <w:sz w:val="36"/>
          <w:color w:val="0F172A"/>
        </w:rPr>
        <w:t>6. End-to-End Operational Workflow</w:t>
      </w:r>
    </w:p>
    <w:p>
      <w:pPr>
        <w:pStyle w:val="Heading2"/>
        <w:spacing w:before="200" w:after="60"/>
      </w:pPr>
      <w:r>
        <w:rPr>
          <w:rFonts w:ascii="Calibri" w:hAnsi="Calibri"/>
          <w:b/>
          <w:sz w:val="28"/>
          <w:color w:val="1E293B"/>
        </w:rPr>
        <w:t>Phase 1: Multi-Tenant Provisioning (SuperAdmin)</w:t>
      </w:r>
    </w:p>
    <w:p>
      <w:pPr>
        <w:spacing w:before="60" w:after="100"/>
        <w:ind w:left="400" w:hanging="200"/>
      </w:pPr>
      <w:r>
        <w:rPr>
          <w:rFonts w:ascii="Calibri" w:hAnsi="Calibri"/>
          <w:b/>
          <w:color w:val="2563EB"/>
        </w:rPr>
        <w:t>• </w:t>
      </w:r>
      <w:r>
        <w:rPr>
          <w:rFonts w:ascii="Calibri" w:hAnsi="Calibri"/>
          <w:color w:val="334155"/>
          <w:sz w:val="22"/>
        </w:rPr>
        <w:t xml:space="preserve">1. The SuperAdmin logs in via the mobile application (or Web portal) using encrypted 256-bit SSL credentials.</w:t>
      </w:r>
    </w:p>
    <w:p>
      <w:pPr>
        <w:spacing w:before="60" w:after="100"/>
        <w:ind w:left="400" w:hanging="200"/>
      </w:pPr>
      <w:r>
        <w:rPr>
          <w:rFonts w:ascii="Calibri" w:hAnsi="Calibri"/>
          <w:b/>
          <w:color w:val="2563EB"/>
        </w:rPr>
        <w:t>• </w:t>
      </w:r>
      <w:r>
        <w:rPr>
          <w:rFonts w:ascii="Calibri" w:hAnsi="Calibri"/>
          <w:color w:val="334155"/>
          <w:sz w:val="22"/>
        </w:rPr>
        <w:t xml:space="preserve">2. In the Admin Console ('admin.tsx'), the SuperAdmin creates a new Company entity (e.g. 'Apex Water Utilities').</w:t>
      </w:r>
    </w:p>
    <w:p>
      <w:pPr>
        <w:spacing w:before="60" w:after="100"/>
        <w:ind w:left="400" w:hanging="200"/>
      </w:pPr>
      <w:r>
        <w:rPr>
          <w:rFonts w:ascii="Calibri" w:hAnsi="Calibri"/>
          <w:b/>
          <w:color w:val="2563EB"/>
        </w:rPr>
        <w:t>• </w:t>
      </w:r>
      <w:r>
        <w:rPr>
          <w:rFonts w:ascii="Calibri" w:hAnsi="Calibri"/>
          <w:color w:val="334155"/>
          <w:sz w:val="22"/>
        </w:rPr>
        <w:t xml:space="preserve">3. The SuperAdmin creates a Company Admin or Manager account with an email address and temporary password.</w:t>
      </w:r>
    </w:p>
    <w:p>
      <w:pPr>
        <w:pStyle w:val="Heading2"/>
        <w:spacing w:before="200" w:after="60"/>
      </w:pPr>
      <w:r>
        <w:rPr>
          <w:rFonts w:ascii="Calibri" w:hAnsi="Calibri"/>
          <w:b/>
          <w:sz w:val="28"/>
          <w:color w:val="1E293B"/>
        </w:rPr>
        <w:t>Phase 2: Fleet Binding &amp; Configuration (Admin Console)</w:t>
      </w:r>
    </w:p>
    <w:p>
      <w:pPr>
        <w:spacing w:before="60" w:after="100"/>
        <w:ind w:left="400" w:hanging="200"/>
      </w:pPr>
      <w:r>
        <w:rPr>
          <w:rFonts w:ascii="Calibri" w:hAnsi="Calibri"/>
          <w:b/>
          <w:color w:val="2563EB"/>
        </w:rPr>
        <w:t>• </w:t>
      </w:r>
      <w:r>
        <w:rPr>
          <w:rFonts w:ascii="Calibri" w:hAnsi="Calibri"/>
          <w:color w:val="334155"/>
          <w:sz w:val="22"/>
        </w:rPr>
        <w:t xml:space="preserve">1. The Admin navigates to the 'IoT Devices' tab in the Admin Console.</w:t>
      </w:r>
    </w:p>
    <w:p>
      <w:pPr>
        <w:spacing w:before="60" w:after="100"/>
        <w:ind w:left="400" w:hanging="200"/>
      </w:pPr>
      <w:r>
        <w:rPr>
          <w:rFonts w:ascii="Calibri" w:hAnsi="Calibri"/>
          <w:b/>
          <w:color w:val="2563EB"/>
        </w:rPr>
        <w:t>• </w:t>
      </w:r>
      <w:r>
        <w:rPr>
          <w:rFonts w:ascii="Calibri" w:hAnsi="Calibri"/>
          <w:color w:val="334155"/>
          <w:sz w:val="22"/>
        </w:rPr>
        <w:t xml:space="preserve">2. The Admin enters the physical Device ID (e.g. 'WQ-STATION-01'), friendly name, and physical location.</w:t>
      </w:r>
    </w:p>
    <w:p>
      <w:pPr>
        <w:spacing w:before="60" w:after="100"/>
        <w:ind w:left="400" w:hanging="200"/>
      </w:pPr>
      <w:r>
        <w:rPr>
          <w:rFonts w:ascii="Calibri" w:hAnsi="Calibri"/>
          <w:b/>
          <w:color w:val="2563EB"/>
        </w:rPr>
        <w:t>• </w:t>
      </w:r>
      <w:r>
        <w:rPr>
          <w:rFonts w:ascii="Calibri" w:hAnsi="Calibri"/>
          <w:color w:val="334155"/>
          <w:sz w:val="22"/>
        </w:rPr>
        <w:t xml:space="preserve">3. The Admin inputs the ThingSpeak Channel ID and Read API Key.</w:t>
      </w:r>
    </w:p>
    <w:p>
      <w:pPr>
        <w:spacing w:before="60" w:after="100"/>
        <w:ind w:left="400" w:hanging="200"/>
      </w:pPr>
      <w:r>
        <w:rPr>
          <w:rFonts w:ascii="Calibri" w:hAnsi="Calibri"/>
          <w:b/>
          <w:color w:val="2563EB"/>
        </w:rPr>
        <w:t>• </w:t>
      </w:r>
      <w:r>
        <w:rPr>
          <w:rFonts w:ascii="Calibri" w:hAnsi="Calibri"/>
          <w:color w:val="334155"/>
          <w:sz w:val="22"/>
        </w:rPr>
        <w:t xml:space="preserve">4. The Admin customizes parameter safety thresholds: Minimum pH (6.5), Maximum pH (8.5), Maximum Turbidity (5.0 NTU), and Maximum TDS (500 ppm).</w:t>
      </w:r>
    </w:p>
    <w:p>
      <w:pPr>
        <w:spacing w:before="60" w:after="100"/>
        <w:ind w:left="400" w:hanging="200"/>
      </w:pPr>
      <w:r>
        <w:rPr>
          <w:rFonts w:ascii="Calibri" w:hAnsi="Calibri"/>
          <w:b/>
          <w:color w:val="2563EB"/>
        </w:rPr>
        <w:t>• </w:t>
      </w:r>
      <w:r>
        <w:rPr>
          <w:rFonts w:ascii="Calibri" w:hAnsi="Calibri"/>
          <w:color w:val="334155"/>
          <w:sz w:val="22"/>
        </w:rPr>
        <w:t xml:space="preserve">5. The Admin assigns the device to a specific Manager User. The record is committed to MongoDB Atlas.</w:t>
      </w:r>
    </w:p>
    <w:p>
      <w:pPr>
        <w:pStyle w:val="Heading2"/>
        <w:spacing w:before="200" w:after="60"/>
      </w:pPr>
      <w:r>
        <w:rPr>
          <w:rFonts w:ascii="Calibri" w:hAnsi="Calibri"/>
          <w:b/>
          <w:sz w:val="28"/>
          <w:color w:val="1E293B"/>
        </w:rPr>
        <w:t>Phase 3: Real-Time Telemetry &amp; Processing (Edge to Cloud)</w:t>
      </w:r>
    </w:p>
    <w:p>
      <w:pPr>
        <w:spacing w:before="60" w:after="100"/>
        <w:ind w:left="400" w:hanging="200"/>
      </w:pPr>
      <w:r>
        <w:rPr>
          <w:rFonts w:ascii="Calibri" w:hAnsi="Calibri"/>
          <w:b/>
          <w:color w:val="2563EB"/>
        </w:rPr>
        <w:t>• </w:t>
      </w:r>
      <w:r>
        <w:rPr>
          <w:rFonts w:ascii="Calibri" w:hAnsi="Calibri"/>
          <w:color w:val="334155"/>
          <w:sz w:val="22"/>
        </w:rPr>
        <w:t xml:space="preserve">1. The ESP32 station samples the water every 15-30 seconds across the 3 sensors (pH, Turbidity, TDS), digitizes readings, and posts data to ThingSpeak.</w:t>
      </w:r>
    </w:p>
    <w:p>
      <w:pPr>
        <w:spacing w:before="60" w:after="100"/>
        <w:ind w:left="400" w:hanging="200"/>
      </w:pPr>
      <w:r>
        <w:rPr>
          <w:rFonts w:ascii="Calibri" w:hAnsi="Calibri"/>
          <w:b/>
          <w:color w:val="2563EB"/>
        </w:rPr>
        <w:t>• </w:t>
      </w:r>
      <w:r>
        <w:rPr>
          <w:rFonts w:ascii="Calibri" w:hAnsi="Calibri"/>
          <w:color w:val="334155"/>
          <w:sz w:val="22"/>
        </w:rPr>
        <w:t xml:space="preserve">2. ThingSpeak stores the timeseries entries across Field 1 (pH), Field 2 (Turbidity), Field 3 (TDS), and Field 4 (Hardware ID).</w:t>
      </w:r>
    </w:p>
    <w:p>
      <w:pPr>
        <w:pStyle w:val="Heading2"/>
        <w:spacing w:before="200" w:after="60"/>
      </w:pPr>
      <w:r>
        <w:rPr>
          <w:rFonts w:ascii="Calibri" w:hAnsi="Calibri"/>
          <w:b/>
          <w:sz w:val="28"/>
          <w:color w:val="1E293B"/>
        </w:rPr>
        <w:t>Phase 4: Live Dashboard Monitoring &amp; Safety Evaluation</w:t>
      </w:r>
    </w:p>
    <w:p>
      <w:pPr>
        <w:spacing w:before="60" w:after="100"/>
        <w:ind w:left="400" w:hanging="200"/>
      </w:pPr>
      <w:r>
        <w:rPr>
          <w:rFonts w:ascii="Calibri" w:hAnsi="Calibri"/>
          <w:b/>
          <w:color w:val="2563EB"/>
        </w:rPr>
        <w:t>• </w:t>
      </w:r>
      <w:r>
        <w:rPr>
          <w:rFonts w:ascii="Calibri" w:hAnsi="Calibri"/>
          <w:color w:val="334155"/>
          <w:sz w:val="22"/>
        </w:rPr>
        <w:t xml:space="preserve">1. When the assigned Manager logs into the mobile app, the app detects their role and fetches only their assigned devices.</w:t>
      </w:r>
    </w:p>
    <w:p>
      <w:pPr>
        <w:spacing w:before="60" w:after="100"/>
        <w:ind w:left="400" w:hanging="200"/>
      </w:pPr>
      <w:r>
        <w:rPr>
          <w:rFonts w:ascii="Calibri" w:hAnsi="Calibri"/>
          <w:b/>
          <w:color w:val="2563EB"/>
        </w:rPr>
        <w:t>• </w:t>
      </w:r>
      <w:r>
        <w:rPr>
          <w:rFonts w:ascii="Calibri" w:hAnsi="Calibri"/>
          <w:color w:val="334155"/>
          <w:sz w:val="22"/>
        </w:rPr>
        <w:t xml:space="preserve">2. The Dashboard ('dashboard.tsx') automatically polls the latest telemetry feed every 15 seconds.</w:t>
      </w:r>
    </w:p>
    <w:p>
      <w:pPr>
        <w:spacing w:before="60" w:after="100"/>
        <w:ind w:left="400" w:hanging="200"/>
      </w:pPr>
      <w:r>
        <w:rPr>
          <w:rFonts w:ascii="Calibri" w:hAnsi="Calibri"/>
          <w:b/>
          <w:color w:val="2563EB"/>
        </w:rPr>
        <w:t>• </w:t>
      </w:r>
      <w:r>
        <w:rPr>
          <w:rFonts w:ascii="Calibri" w:hAnsi="Calibri"/>
          <w:color w:val="334155"/>
          <w:sz w:val="22"/>
        </w:rPr>
        <w:t xml:space="preserve">3. The client calculates the Water Quality Index (WQI) based on the three core parameters (pH, Turbidity, TDS):</w:t>
      </w:r>
    </w:p>
    <w:p>
      <w:pPr>
        <w:spacing w:before="60" w:after="100"/>
        <w:ind w:left="400" w:hanging="200"/>
      </w:pPr>
      <w:r>
        <w:rPr>
          <w:rFonts w:ascii="Calibri" w:hAnsi="Calibri"/>
          <w:b/>
          <w:color w:val="2563EB"/>
        </w:rPr>
        <w:t>• </w:t>
      </w:r>
      <w:r>
        <w:rPr>
          <w:rFonts w:ascii="Calibri" w:hAnsi="Calibri"/>
          <w:color w:val="334155"/>
          <w:sz w:val="22"/>
        </w:rPr>
        <w:t xml:space="preserve">   • 90 - 100: Excellent (Pure / Safe for direct human consumption)</w:t>
      </w:r>
    </w:p>
    <w:p>
      <w:pPr>
        <w:spacing w:before="60" w:after="100"/>
        <w:ind w:left="400" w:hanging="200"/>
      </w:pPr>
      <w:r>
        <w:rPr>
          <w:rFonts w:ascii="Calibri" w:hAnsi="Calibri"/>
          <w:b/>
          <w:color w:val="2563EB"/>
        </w:rPr>
        <w:t>• </w:t>
      </w:r>
      <w:r>
        <w:rPr>
          <w:rFonts w:ascii="Calibri" w:hAnsi="Calibri"/>
          <w:color w:val="334155"/>
          <w:sz w:val="22"/>
        </w:rPr>
        <w:t xml:space="preserve">   • 70 - 89: Good (Potable standard water)</w:t>
      </w:r>
    </w:p>
    <w:p>
      <w:pPr>
        <w:spacing w:before="60" w:after="100"/>
        <w:ind w:left="400" w:hanging="200"/>
      </w:pPr>
      <w:r>
        <w:rPr>
          <w:rFonts w:ascii="Calibri" w:hAnsi="Calibri"/>
          <w:b/>
          <w:color w:val="2563EB"/>
        </w:rPr>
        <w:t>• </w:t>
      </w:r>
      <w:r>
        <w:rPr>
          <w:rFonts w:ascii="Calibri" w:hAnsi="Calibri"/>
          <w:color w:val="334155"/>
          <w:sz w:val="22"/>
        </w:rPr>
        <w:t xml:space="preserve">   • 50 - 69: Fair (Requires filtration or chemical chlorination)</w:t>
      </w:r>
    </w:p>
    <w:p>
      <w:pPr>
        <w:spacing w:before="60" w:after="100"/>
        <w:ind w:left="400" w:hanging="200"/>
      </w:pPr>
      <w:r>
        <w:rPr>
          <w:rFonts w:ascii="Calibri" w:hAnsi="Calibri"/>
          <w:b/>
          <w:color w:val="2563EB"/>
        </w:rPr>
        <w:t>• </w:t>
      </w:r>
      <w:r>
        <w:rPr>
          <w:rFonts w:ascii="Calibri" w:hAnsi="Calibri"/>
          <w:color w:val="334155"/>
          <w:sz w:val="22"/>
        </w:rPr>
        <w:t xml:space="preserve">   • &lt; 50: Poor / Hazardous (Unsafe / Contaminated)</w:t>
      </w:r>
    </w:p>
    <w:p>
      <w:pPr>
        <w:spacing w:before="60" w:after="100"/>
        <w:ind w:left="400" w:hanging="200"/>
      </w:pPr>
      <w:r>
        <w:rPr>
          <w:rFonts w:ascii="Calibri" w:hAnsi="Calibri"/>
          <w:b/>
          <w:color w:val="2563EB"/>
        </w:rPr>
        <w:t>• </w:t>
      </w:r>
      <w:r>
        <w:rPr>
          <w:rFonts w:ascii="Calibri" w:hAnsi="Calibri"/>
          <w:color w:val="334155"/>
          <w:sz w:val="22"/>
        </w:rPr>
        <w:t xml:space="preserve">4. If any parameter crosses the configured thresholds, the UI displays immediate warning badges with audio-haptic feedback.</w:t>
      </w:r>
    </w:p>
    <w:p>
      <w:pPr>
        <w:pStyle w:val="Heading1"/>
        <w:spacing w:before="300" w:after="100"/>
      </w:pPr>
      <w:r>
        <w:rPr>
          <w:rFonts w:ascii="Calibri" w:hAnsi="Calibri"/>
          <w:b/>
          <w:sz w:val="36"/>
          <w:color w:val="0F172A"/>
        </w:rPr>
        <w:t>7. Security, Isolation &amp; Compliance Architecture</w:t>
      </w:r>
    </w:p>
    <w:p>
      <w:pPr>
        <w:spacing w:before="60" w:after="100"/>
        <w:ind w:left="400" w:hanging="200"/>
      </w:pPr>
      <w:r>
        <w:rPr>
          <w:rFonts w:ascii="Calibri" w:hAnsi="Calibri"/>
          <w:b/>
          <w:color w:val="2563EB"/>
        </w:rPr>
        <w:t>• </w:t>
      </w:r>
      <w:r>
        <w:rPr>
          <w:rFonts w:ascii="Calibri" w:hAnsi="Calibri"/>
          <w:color w:val="334155"/>
          <w:sz w:val="22"/>
        </w:rPr>
        <w:t xml:space="preserve">1. Multi-Tenant Isolation: Every database query enforces tenant boundaries using company ObjectId filters, preventing cross-organization data leakage.</w:t>
      </w:r>
    </w:p>
    <w:p>
      <w:pPr>
        <w:spacing w:before="60" w:after="100"/>
        <w:ind w:left="400" w:hanging="200"/>
      </w:pPr>
      <w:r>
        <w:rPr>
          <w:rFonts w:ascii="Calibri" w:hAnsi="Calibri"/>
          <w:b/>
          <w:color w:val="2563EB"/>
        </w:rPr>
        <w:t>• </w:t>
      </w:r>
      <w:r>
        <w:rPr>
          <w:rFonts w:ascii="Calibri" w:hAnsi="Calibri"/>
          <w:color w:val="334155"/>
          <w:sz w:val="22"/>
        </w:rPr>
        <w:t xml:space="preserve">2. Dual-Token JWT Authentication: Short-lived access tokens (15 minutes) and cryptographically hashed refresh tokens (7 days) ensure robust session integrity.</w:t>
      </w:r>
    </w:p>
    <w:p>
      <w:pPr>
        <w:spacing w:before="60" w:after="100"/>
        <w:ind w:left="400" w:hanging="200"/>
      </w:pPr>
      <w:r>
        <w:rPr>
          <w:rFonts w:ascii="Calibri" w:hAnsi="Calibri"/>
          <w:b/>
          <w:color w:val="2563EB"/>
        </w:rPr>
        <w:t>• </w:t>
      </w:r>
      <w:r>
        <w:rPr>
          <w:rFonts w:ascii="Calibri" w:hAnsi="Calibri"/>
          <w:color w:val="334155"/>
          <w:sz w:val="22"/>
        </w:rPr>
        <w:t xml:space="preserve">3. Credential Protection: Passwords are encrypted using bcryptjs with 10 salt rounds. Sensitive hardware write keys are kept server-side.</w:t>
      </w:r>
    </w:p>
    <w:p>
      <w:pPr>
        <w:spacing w:before="60" w:after="100"/>
        <w:ind w:left="400" w:hanging="200"/>
      </w:pPr>
      <w:r>
        <w:rPr>
          <w:rFonts w:ascii="Calibri" w:hAnsi="Calibri"/>
          <w:b/>
          <w:color w:val="2563EB"/>
        </w:rPr>
        <w:t>• </w:t>
      </w:r>
      <w:r>
        <w:rPr>
          <w:rFonts w:ascii="Calibri" w:hAnsi="Calibri"/>
          <w:color w:val="334155"/>
          <w:sz w:val="22"/>
        </w:rPr>
        <w:t xml:space="preserve">4. Cloud Redundancy: Serverless Node.js backend hosted on Vercel guarantees 99.99% uptime with automatic SSL/TLS encryption.</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rPr>
      <w:rFonts w:ascii="Calibri" w:hAnsi="Calibri"/>
      <w:sz w:val="22"/>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