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2980" w14:textId="1EF8B4C1" w:rsidR="008B602D" w:rsidRPr="008B602D" w:rsidRDefault="008B602D" w:rsidP="008B602D">
      <w:pPr>
        <w:jc w:val="center"/>
        <w:rPr>
          <w:rFonts w:ascii="Times New Roman" w:hAnsi="Times New Roman" w:cs="Times New Roman"/>
          <w:sz w:val="56"/>
          <w:szCs w:val="56"/>
        </w:rPr>
      </w:pPr>
      <w:r w:rsidRPr="008B602D">
        <w:rPr>
          <w:rFonts w:ascii="Times New Roman" w:hAnsi="Times New Roman" w:cs="Times New Roman"/>
          <w:b/>
          <w:bCs/>
          <w:sz w:val="56"/>
          <w:szCs w:val="56"/>
          <w:u w:val="single"/>
        </w:rPr>
        <w:t>CRY - INTERNSHIP REPORT</w:t>
      </w:r>
    </w:p>
    <w:p w14:paraId="41BB9346" w14:textId="77777777" w:rsidR="008B602D" w:rsidRDefault="008B602D" w:rsidP="008B602D">
      <w:pPr>
        <w:jc w:val="center"/>
      </w:pPr>
    </w:p>
    <w:p w14:paraId="2B4F7103" w14:textId="77777777" w:rsidR="008B602D" w:rsidRDefault="008B602D" w:rsidP="008B602D">
      <w:pPr>
        <w:jc w:val="center"/>
      </w:pPr>
    </w:p>
    <w:p w14:paraId="5BF7D537" w14:textId="77777777" w:rsidR="008B602D" w:rsidRDefault="008B602D" w:rsidP="008B602D">
      <w:pPr>
        <w:jc w:val="center"/>
      </w:pPr>
    </w:p>
    <w:p w14:paraId="2BDA84AE" w14:textId="77777777" w:rsidR="008B602D" w:rsidRDefault="008B602D" w:rsidP="008B602D">
      <w:pPr>
        <w:jc w:val="center"/>
      </w:pPr>
    </w:p>
    <w:p w14:paraId="790E1371" w14:textId="77777777" w:rsidR="008B602D" w:rsidRDefault="008B602D" w:rsidP="008B602D">
      <w:pPr>
        <w:jc w:val="center"/>
      </w:pPr>
    </w:p>
    <w:p w14:paraId="01006A55" w14:textId="77777777" w:rsidR="008B602D" w:rsidRDefault="008B602D" w:rsidP="008B602D">
      <w:pPr>
        <w:jc w:val="center"/>
      </w:pPr>
    </w:p>
    <w:p w14:paraId="50F8BD3C" w14:textId="190371BE" w:rsidR="008B602D" w:rsidRPr="008B602D" w:rsidRDefault="008B602D" w:rsidP="008B602D">
      <w:pPr>
        <w:jc w:val="center"/>
      </w:pPr>
    </w:p>
    <w:p w14:paraId="7180874D" w14:textId="77777777" w:rsidR="008B602D" w:rsidRPr="008B602D" w:rsidRDefault="008B602D" w:rsidP="008B602D">
      <w:pPr>
        <w:jc w:val="center"/>
        <w:rPr>
          <w:rFonts w:ascii="Times New Roman" w:hAnsi="Times New Roman" w:cs="Times New Roman"/>
          <w:sz w:val="80"/>
          <w:szCs w:val="80"/>
        </w:rPr>
      </w:pPr>
      <w:r w:rsidRPr="008B602D">
        <w:rPr>
          <w:rFonts w:ascii="Times New Roman" w:hAnsi="Times New Roman" w:cs="Times New Roman"/>
          <w:sz w:val="80"/>
          <w:szCs w:val="80"/>
        </w:rPr>
        <w:t>Government Schools in Karnataka and Kerala:</w:t>
      </w:r>
    </w:p>
    <w:p w14:paraId="6AD39360" w14:textId="463B0264" w:rsidR="008B602D" w:rsidRPr="008B602D" w:rsidRDefault="008B602D" w:rsidP="008B602D">
      <w:pPr>
        <w:jc w:val="center"/>
        <w:rPr>
          <w:rFonts w:ascii="Times New Roman" w:hAnsi="Times New Roman" w:cs="Times New Roman"/>
          <w:sz w:val="80"/>
          <w:szCs w:val="80"/>
        </w:rPr>
      </w:pPr>
      <w:r w:rsidRPr="008B602D">
        <w:rPr>
          <w:rFonts w:ascii="Times New Roman" w:hAnsi="Times New Roman" w:cs="Times New Roman"/>
          <w:sz w:val="80"/>
          <w:szCs w:val="80"/>
        </w:rPr>
        <w:t>A Comparative Perspective</w:t>
      </w:r>
    </w:p>
    <w:p w14:paraId="5EFB5E10" w14:textId="77777777" w:rsidR="008B602D" w:rsidRDefault="008B602D" w:rsidP="008B602D">
      <w:pPr>
        <w:jc w:val="right"/>
      </w:pPr>
      <w:r w:rsidRPr="008B602D">
        <w:br/>
      </w:r>
      <w:r w:rsidRPr="008B602D">
        <w:br/>
      </w:r>
      <w:r w:rsidRPr="008B602D">
        <w:br/>
      </w:r>
      <w:r w:rsidRPr="008B602D">
        <w:br/>
      </w:r>
      <w:r w:rsidRPr="008B602D">
        <w:br/>
      </w:r>
    </w:p>
    <w:p w14:paraId="7F9DB0F5" w14:textId="77777777" w:rsidR="008B602D" w:rsidRDefault="008B602D" w:rsidP="008B602D">
      <w:pPr>
        <w:jc w:val="right"/>
      </w:pPr>
    </w:p>
    <w:p w14:paraId="4C551F42" w14:textId="77777777" w:rsidR="008B602D" w:rsidRDefault="008B602D" w:rsidP="008B602D">
      <w:pPr>
        <w:jc w:val="right"/>
      </w:pPr>
    </w:p>
    <w:p w14:paraId="4CB525B6" w14:textId="77777777" w:rsidR="008B602D" w:rsidRDefault="008B602D" w:rsidP="008B602D">
      <w:pPr>
        <w:jc w:val="right"/>
      </w:pPr>
    </w:p>
    <w:p w14:paraId="51C9B433" w14:textId="4E2800A3" w:rsidR="008B602D" w:rsidRPr="008B602D" w:rsidRDefault="008B602D" w:rsidP="008B602D">
      <w:pPr>
        <w:jc w:val="right"/>
        <w:rPr>
          <w:rFonts w:ascii="Times New Roman" w:hAnsi="Times New Roman" w:cs="Times New Roman"/>
          <w:sz w:val="28"/>
          <w:szCs w:val="28"/>
        </w:rPr>
      </w:pPr>
      <w:r w:rsidRPr="008B602D">
        <w:br/>
      </w:r>
    </w:p>
    <w:p w14:paraId="4212D8C7" w14:textId="77777777" w:rsidR="008B602D" w:rsidRPr="008B602D" w:rsidRDefault="008B602D" w:rsidP="008B602D">
      <w:pPr>
        <w:jc w:val="right"/>
        <w:rPr>
          <w:rFonts w:ascii="Times New Roman" w:hAnsi="Times New Roman" w:cs="Times New Roman"/>
          <w:sz w:val="28"/>
          <w:szCs w:val="28"/>
        </w:rPr>
      </w:pPr>
      <w:r w:rsidRPr="008B602D">
        <w:rPr>
          <w:rFonts w:ascii="Times New Roman" w:hAnsi="Times New Roman" w:cs="Times New Roman"/>
          <w:b/>
          <w:bCs/>
          <w:sz w:val="28"/>
          <w:szCs w:val="28"/>
        </w:rPr>
        <w:t>Submitted By</w:t>
      </w:r>
    </w:p>
    <w:p w14:paraId="6813125F" w14:textId="3F12178C" w:rsidR="008B602D" w:rsidRPr="008B602D" w:rsidRDefault="008B602D" w:rsidP="008B602D">
      <w:pPr>
        <w:jc w:val="right"/>
        <w:rPr>
          <w:rFonts w:ascii="Times New Roman" w:hAnsi="Times New Roman" w:cs="Times New Roman"/>
          <w:sz w:val="28"/>
          <w:szCs w:val="28"/>
        </w:rPr>
      </w:pPr>
      <w:r w:rsidRPr="008B602D">
        <w:rPr>
          <w:rFonts w:ascii="Times New Roman" w:hAnsi="Times New Roman" w:cs="Times New Roman"/>
          <w:sz w:val="28"/>
          <w:szCs w:val="28"/>
        </w:rPr>
        <w:t xml:space="preserve">DEVA </w:t>
      </w:r>
      <w:r w:rsidRPr="008B602D">
        <w:rPr>
          <w:rFonts w:ascii="Times New Roman" w:hAnsi="Times New Roman" w:cs="Times New Roman"/>
          <w:sz w:val="28"/>
          <w:szCs w:val="28"/>
        </w:rPr>
        <w:t>NANDANA. P</w:t>
      </w:r>
    </w:p>
    <w:p w14:paraId="3EB4BCAD" w14:textId="77777777" w:rsidR="008B602D" w:rsidRPr="008B602D" w:rsidRDefault="008B602D" w:rsidP="008B602D">
      <w:pPr>
        <w:jc w:val="right"/>
        <w:rPr>
          <w:rFonts w:ascii="Times New Roman" w:hAnsi="Times New Roman" w:cs="Times New Roman"/>
          <w:sz w:val="28"/>
          <w:szCs w:val="28"/>
        </w:rPr>
      </w:pPr>
      <w:r w:rsidRPr="008B602D">
        <w:rPr>
          <w:rFonts w:ascii="Times New Roman" w:hAnsi="Times New Roman" w:cs="Times New Roman"/>
          <w:sz w:val="28"/>
          <w:szCs w:val="28"/>
        </w:rPr>
        <w:t>INTERN - PEER MENTOR </w:t>
      </w:r>
    </w:p>
    <w:p w14:paraId="36B6FD7C" w14:textId="77777777" w:rsidR="008B602D" w:rsidRPr="008B602D" w:rsidRDefault="008B602D" w:rsidP="008B602D">
      <w:pPr>
        <w:jc w:val="right"/>
        <w:rPr>
          <w:rFonts w:ascii="Times New Roman" w:hAnsi="Times New Roman" w:cs="Times New Roman"/>
          <w:sz w:val="28"/>
          <w:szCs w:val="28"/>
        </w:rPr>
      </w:pPr>
      <w:r w:rsidRPr="008B602D">
        <w:rPr>
          <w:rFonts w:ascii="Times New Roman" w:hAnsi="Times New Roman" w:cs="Times New Roman"/>
          <w:sz w:val="28"/>
          <w:szCs w:val="28"/>
        </w:rPr>
        <w:t>YCC’25 PROGRAM</w:t>
      </w:r>
    </w:p>
    <w:p w14:paraId="122DFBA4" w14:textId="77777777" w:rsidR="008B602D" w:rsidRDefault="008B602D" w:rsidP="008B602D"/>
    <w:p w14:paraId="6DD71A00" w14:textId="07FBFB46" w:rsidR="008B602D" w:rsidRPr="008B602D" w:rsidRDefault="008B602D" w:rsidP="008B602D">
      <w:pPr>
        <w:rPr>
          <w:rFonts w:ascii="Times New Roman" w:hAnsi="Times New Roman" w:cs="Times New Roman"/>
          <w:sz w:val="36"/>
          <w:szCs w:val="36"/>
        </w:rPr>
      </w:pPr>
      <w:r w:rsidRPr="008B602D">
        <w:rPr>
          <w:rFonts w:ascii="Times New Roman" w:hAnsi="Times New Roman" w:cs="Times New Roman"/>
          <w:b/>
          <w:bCs/>
          <w:sz w:val="36"/>
          <w:szCs w:val="36"/>
        </w:rPr>
        <w:lastRenderedPageBreak/>
        <w:t>INTRODUCTION</w:t>
      </w:r>
    </w:p>
    <w:p w14:paraId="700D6FA7" w14:textId="77777777" w:rsidR="008B602D" w:rsidRPr="008B602D" w:rsidRDefault="008B602D" w:rsidP="008B602D"/>
    <w:p w14:paraId="4E814B09"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As part of my internship with CRY (Child Rights and You), I had the opportunity to engage with a government school in Karnataka during a fieldwork initiative organized by the organization. This report presents a comparative study of government school systems in Karnataka and Kerala, with a focus on key dimensions such as infrastructure, pedagogical approaches, student engagement, administrative practices, and community participation.</w:t>
      </w:r>
    </w:p>
    <w:p w14:paraId="51286B5D" w14:textId="77777777" w:rsidR="008B602D" w:rsidRPr="008B602D" w:rsidRDefault="008B602D" w:rsidP="008B602D">
      <w:pPr>
        <w:spacing w:line="360" w:lineRule="auto"/>
        <w:rPr>
          <w:rFonts w:ascii="Times New Roman" w:hAnsi="Times New Roman" w:cs="Times New Roman"/>
          <w:sz w:val="24"/>
          <w:szCs w:val="24"/>
        </w:rPr>
      </w:pPr>
    </w:p>
    <w:p w14:paraId="16ABB97C"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As part of my internship with CRY, we conducted a session on career exploration at the Government Lower Urdu Primary School in Thanisandra, Karnataka. Through engaging activities like a Pictionary exercise where students sketched their dream jobs, we encouraged them to reflect on their career aspirations. Though initially hesitant, the students responded well with guidance and visual prompts. The session also included other interactive games promoting self-expression, making it a lively and meaningful experience for all involved.</w:t>
      </w:r>
    </w:p>
    <w:p w14:paraId="54F796B3" w14:textId="77777777" w:rsidR="008B602D" w:rsidRPr="008B602D" w:rsidRDefault="008B602D" w:rsidP="008B602D">
      <w:pPr>
        <w:spacing w:line="360" w:lineRule="auto"/>
        <w:rPr>
          <w:rFonts w:ascii="Times New Roman" w:hAnsi="Times New Roman" w:cs="Times New Roman"/>
          <w:sz w:val="24"/>
          <w:szCs w:val="24"/>
        </w:rPr>
      </w:pPr>
    </w:p>
    <w:p w14:paraId="395D23E6" w14:textId="39C508A4"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 xml:space="preserve">I also had the opportunity to visit Government L.P. School, Cheranalloor, Kerala. Similar to the previous school, the day began with a morning assembly before class. The school is Malayalam-medium, with four teachers and a headmaster. Initially, the students were pretty bustling and somewhat disorderly until their teacher arrived and took control of the classroom. Once the classes began, the classroom atmosphere became structured and </w:t>
      </w:r>
      <w:r w:rsidRPr="008B602D">
        <w:rPr>
          <w:rFonts w:ascii="Times New Roman" w:hAnsi="Times New Roman" w:cs="Times New Roman"/>
          <w:sz w:val="24"/>
          <w:szCs w:val="24"/>
        </w:rPr>
        <w:t>disciplined, the</w:t>
      </w:r>
      <w:r w:rsidRPr="008B602D">
        <w:rPr>
          <w:rFonts w:ascii="Times New Roman" w:hAnsi="Times New Roman" w:cs="Times New Roman"/>
          <w:sz w:val="24"/>
          <w:szCs w:val="24"/>
        </w:rPr>
        <w:t xml:space="preserve"> students were paying attention and participating in the class. Despite the short and casual visit, the engagement with the students was entertaining and instructive.</w:t>
      </w:r>
    </w:p>
    <w:p w14:paraId="45370459" w14:textId="77777777" w:rsidR="008B602D" w:rsidRPr="008B602D" w:rsidRDefault="008B602D" w:rsidP="008B602D">
      <w:pPr>
        <w:rPr>
          <w:rFonts w:ascii="Times New Roman" w:hAnsi="Times New Roman" w:cs="Times New Roman"/>
          <w:sz w:val="36"/>
          <w:szCs w:val="36"/>
        </w:rPr>
      </w:pPr>
      <w:r w:rsidRPr="008B602D">
        <w:br/>
      </w:r>
      <w:r w:rsidRPr="008B602D">
        <w:br/>
      </w:r>
      <w:r w:rsidRPr="008B602D">
        <w:br/>
      </w:r>
      <w:r w:rsidRPr="008B602D">
        <w:br/>
      </w:r>
      <w:r w:rsidRPr="008B602D">
        <w:br/>
      </w:r>
      <w:r w:rsidRPr="008B602D">
        <w:br/>
      </w:r>
      <w:r w:rsidRPr="008B602D">
        <w:br/>
      </w:r>
      <w:r w:rsidRPr="008B602D">
        <w:br/>
      </w:r>
      <w:r w:rsidRPr="008B602D">
        <w:br/>
      </w:r>
      <w:r w:rsidRPr="008B602D">
        <w:br/>
      </w:r>
    </w:p>
    <w:p w14:paraId="51872FA5" w14:textId="09561543" w:rsidR="008B602D" w:rsidRPr="008B602D" w:rsidRDefault="008B602D" w:rsidP="008B602D">
      <w:pPr>
        <w:rPr>
          <w:rFonts w:ascii="Times New Roman" w:hAnsi="Times New Roman" w:cs="Times New Roman"/>
          <w:b/>
          <w:bCs/>
          <w:sz w:val="36"/>
          <w:szCs w:val="36"/>
          <w:u w:val="single"/>
        </w:rPr>
      </w:pPr>
      <w:r w:rsidRPr="008B602D">
        <w:rPr>
          <w:rFonts w:ascii="Times New Roman" w:hAnsi="Times New Roman" w:cs="Times New Roman"/>
          <w:b/>
          <w:bCs/>
          <w:sz w:val="36"/>
          <w:szCs w:val="36"/>
          <w:u w:val="single"/>
        </w:rPr>
        <w:lastRenderedPageBreak/>
        <w:t>A</w:t>
      </w:r>
      <w:r w:rsidRPr="008B602D">
        <w:rPr>
          <w:rFonts w:ascii="Times New Roman" w:hAnsi="Times New Roman" w:cs="Times New Roman"/>
          <w:b/>
          <w:bCs/>
          <w:sz w:val="36"/>
          <w:szCs w:val="36"/>
          <w:u w:val="single"/>
        </w:rPr>
        <w:t xml:space="preserve"> COMPARATIVE STUDY</w:t>
      </w:r>
      <w:r w:rsidRPr="008B602D">
        <w:rPr>
          <w:rFonts w:ascii="Times New Roman" w:hAnsi="Times New Roman" w:cs="Times New Roman"/>
          <w:b/>
          <w:bCs/>
          <w:sz w:val="36"/>
          <w:szCs w:val="36"/>
          <w:u w:val="single"/>
        </w:rPr>
        <w:t xml:space="preserve"> </w:t>
      </w:r>
      <w:r w:rsidRPr="008B602D">
        <w:rPr>
          <w:rFonts w:ascii="Times New Roman" w:hAnsi="Times New Roman" w:cs="Times New Roman"/>
          <w:b/>
          <w:bCs/>
          <w:sz w:val="36"/>
          <w:szCs w:val="36"/>
          <w:u w:val="single"/>
        </w:rPr>
        <w:t>–</w:t>
      </w:r>
      <w:r w:rsidRPr="008B602D">
        <w:rPr>
          <w:rFonts w:ascii="Times New Roman" w:hAnsi="Times New Roman" w:cs="Times New Roman"/>
          <w:b/>
          <w:bCs/>
          <w:sz w:val="36"/>
          <w:szCs w:val="36"/>
          <w:u w:val="single"/>
        </w:rPr>
        <w:t> </w:t>
      </w:r>
    </w:p>
    <w:p w14:paraId="625D2986" w14:textId="77777777" w:rsidR="008B602D" w:rsidRPr="008B602D" w:rsidRDefault="008B602D" w:rsidP="008B602D">
      <w:pPr>
        <w:rPr>
          <w:rFonts w:ascii="Times New Roman" w:hAnsi="Times New Roman" w:cs="Times New Roman"/>
          <w:b/>
          <w:bCs/>
          <w:sz w:val="36"/>
          <w:szCs w:val="36"/>
        </w:rPr>
      </w:pPr>
    </w:p>
    <w:p w14:paraId="48BD5F14"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While examining both government schools in Kerala and Karnataka, clear differences emerge not only in the schooling systems but also in the learning environments and student outcomes. Kerala’s government schools generally demonstrate a more robust and well-maintained infrastructure, a structured educational system, and a stronger emphasis on quality teaching, whereas Karnataka’s schools reflect ongoing challenges in infrastructure, staffing, and resource availability.</w:t>
      </w:r>
    </w:p>
    <w:p w14:paraId="23F562A0"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Both schools had access to basic amenities such as drinking water, electricity, and toilet facilities for both boys and girls. However, certain variations were noted in the quality and maintenance of classrooms. In Kerala, government school classrooms were well-maintained, clean, and equipped with essential furniture such as desks and benches for every child. The overall school premises also appeared clean and maintained. In contrast, while the government school in Karnataka had a reasonably maintained classroom structure, it lacked proper furniture. Students were found sitting on wooden slabs, with no desks available, an issue that can impact posture, concentration, and writing comfort. And these schools both in Kerala and Karnataka had the mid-day meal scheme where they provided nutritious meals to their students on time. </w:t>
      </w:r>
    </w:p>
    <w:p w14:paraId="17D55E3B"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Teaching and communication in both schools was conducted in their respective regional languages Malayalam in Kerala and Kannada in Karnataka. However, an interesting observation was that students in the Karnataka school demonstrated multilingual proficiency at a young age, with many able to communicate in Kannada, Hindi, and Urdu. This multilingual ability is commendable and suggests a strong foundation in language learning despite infrastructural shortcomings.</w:t>
      </w:r>
    </w:p>
    <w:p w14:paraId="6F8CC98F" w14:textId="77777777" w:rsidR="008B602D" w:rsidRP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t>Kerala’s reputation for having one of the best public education systems in India is reflected in its government schools. Teachers in Kerala Government school are usually well-qualified and recruited through competitive processes, often holding professional degrees and undergoing regular training to stay updated with pedagogical developments. The teacher-student ratio is typically within acceptable limits, and teacher attendance is consistently monitored through digital tracking systems.</w:t>
      </w:r>
    </w:p>
    <w:p w14:paraId="0D3C8EEC" w14:textId="37071C3C" w:rsidR="008B602D" w:rsidRDefault="008B602D" w:rsidP="008B602D">
      <w:pPr>
        <w:spacing w:line="360" w:lineRule="auto"/>
        <w:rPr>
          <w:rFonts w:ascii="Times New Roman" w:hAnsi="Times New Roman" w:cs="Times New Roman"/>
          <w:sz w:val="24"/>
          <w:szCs w:val="24"/>
        </w:rPr>
      </w:pPr>
      <w:r w:rsidRPr="008B602D">
        <w:rPr>
          <w:rFonts w:ascii="Times New Roman" w:hAnsi="Times New Roman" w:cs="Times New Roman"/>
          <w:sz w:val="24"/>
          <w:szCs w:val="24"/>
        </w:rPr>
        <w:lastRenderedPageBreak/>
        <w:t>In Karnataka, while efforts are being made to enhance teacher training and recruitment, challenges persist. Teachers are often appointed based on regional or local quotas, and though training is provided, inconsistencies in the quality of instruction and subject expertise are common. Moreover, concerns regarding irregular teacher attendance and understaffed schools continue to hinder the effectiveness of government schools in the state.</w:t>
      </w:r>
    </w:p>
    <w:p w14:paraId="74D50FF7" w14:textId="77777777" w:rsidR="008B602D" w:rsidRPr="008B602D" w:rsidRDefault="008B602D" w:rsidP="008B602D">
      <w:pPr>
        <w:spacing w:line="360" w:lineRule="auto"/>
        <w:rPr>
          <w:rFonts w:ascii="Times New Roman" w:hAnsi="Times New Roman" w:cs="Times New Roman"/>
          <w:sz w:val="24"/>
          <w:szCs w:val="24"/>
        </w:rPr>
      </w:pPr>
    </w:p>
    <w:p w14:paraId="6743AABB" w14:textId="77777777" w:rsidR="008B602D" w:rsidRPr="008B602D" w:rsidRDefault="008B602D" w:rsidP="008B602D">
      <w:pPr>
        <w:rPr>
          <w:rFonts w:ascii="Times New Roman" w:hAnsi="Times New Roman" w:cs="Times New Roman"/>
          <w:b/>
          <w:bCs/>
          <w:sz w:val="36"/>
          <w:szCs w:val="36"/>
        </w:rPr>
      </w:pPr>
      <w:r w:rsidRPr="008B602D">
        <w:rPr>
          <w:rFonts w:ascii="Times New Roman" w:hAnsi="Times New Roman" w:cs="Times New Roman"/>
          <w:b/>
          <w:bCs/>
          <w:sz w:val="36"/>
          <w:szCs w:val="36"/>
        </w:rPr>
        <w:t>CONCLUSION -  </w:t>
      </w:r>
    </w:p>
    <w:p w14:paraId="29F9AE36" w14:textId="51B72E40" w:rsidR="008B602D" w:rsidRPr="008B602D" w:rsidRDefault="008B602D" w:rsidP="008B602D">
      <w:pPr>
        <w:spacing w:line="360" w:lineRule="auto"/>
        <w:rPr>
          <w:rFonts w:ascii="Times New Roman" w:hAnsi="Times New Roman" w:cs="Times New Roman"/>
          <w:color w:val="000000" w:themeColor="text1"/>
          <w:sz w:val="24"/>
          <w:szCs w:val="24"/>
        </w:rPr>
      </w:pPr>
      <w:r w:rsidRPr="008B602D">
        <w:rPr>
          <w:rFonts w:ascii="Times New Roman" w:hAnsi="Times New Roman" w:cs="Times New Roman"/>
          <w:color w:val="000000" w:themeColor="text1"/>
          <w:sz w:val="24"/>
          <w:szCs w:val="24"/>
        </w:rPr>
        <w:t xml:space="preserve">In conclusion we can say that </w:t>
      </w:r>
      <w:r w:rsidRPr="008B602D">
        <w:rPr>
          <w:rFonts w:ascii="Times New Roman" w:hAnsi="Times New Roman" w:cs="Times New Roman"/>
          <w:color w:val="000000" w:themeColor="text1"/>
          <w:sz w:val="24"/>
          <w:szCs w:val="24"/>
        </w:rPr>
        <w:t>the Kerala government</w:t>
      </w:r>
      <w:r w:rsidRPr="008B602D">
        <w:rPr>
          <w:rFonts w:ascii="Times New Roman" w:hAnsi="Times New Roman" w:cs="Times New Roman"/>
          <w:color w:val="000000" w:themeColor="text1"/>
          <w:sz w:val="24"/>
          <w:szCs w:val="24"/>
        </w:rPr>
        <w:t xml:space="preserve"> schools offer a structured and supportive learning environment, backed up by strong policy execution and teacher responsibility. The Karnataka government </w:t>
      </w:r>
      <w:r w:rsidRPr="008B602D">
        <w:rPr>
          <w:rFonts w:ascii="Times New Roman" w:hAnsi="Times New Roman" w:cs="Times New Roman"/>
          <w:color w:val="000000" w:themeColor="text1"/>
          <w:sz w:val="24"/>
          <w:szCs w:val="24"/>
        </w:rPr>
        <w:t>school has</w:t>
      </w:r>
      <w:r w:rsidRPr="008B602D">
        <w:rPr>
          <w:rFonts w:ascii="Times New Roman" w:hAnsi="Times New Roman" w:cs="Times New Roman"/>
          <w:color w:val="000000" w:themeColor="text1"/>
          <w:sz w:val="24"/>
          <w:szCs w:val="24"/>
        </w:rPr>
        <w:t xml:space="preserve"> structural problems in terms of infrastructure improvement, instructor consistency, and teaching quality maintenance. Both schools have dedicated teachers and headmasters, and </w:t>
      </w:r>
      <w:r w:rsidRPr="008B602D">
        <w:rPr>
          <w:rFonts w:ascii="Times New Roman" w:hAnsi="Times New Roman" w:cs="Times New Roman"/>
          <w:color w:val="000000" w:themeColor="text1"/>
          <w:sz w:val="24"/>
          <w:szCs w:val="24"/>
        </w:rPr>
        <w:t>also the</w:t>
      </w:r>
      <w:r w:rsidRPr="008B602D">
        <w:rPr>
          <w:rFonts w:ascii="Times New Roman" w:hAnsi="Times New Roman" w:cs="Times New Roman"/>
          <w:color w:val="000000" w:themeColor="text1"/>
          <w:sz w:val="24"/>
          <w:szCs w:val="24"/>
        </w:rPr>
        <w:t xml:space="preserve"> contexts and styles of involvement seems different in both the schools. Karnataka government school provides planned interactive sessions, whilst Kerala's school demonstrates effective classroom management and solid teacher-student relationships. </w:t>
      </w:r>
    </w:p>
    <w:p w14:paraId="6A9D2522" w14:textId="77777777" w:rsidR="008B602D" w:rsidRPr="008B602D" w:rsidRDefault="008B602D" w:rsidP="008B602D">
      <w:pPr>
        <w:spacing w:line="360" w:lineRule="auto"/>
        <w:rPr>
          <w:rFonts w:ascii="Times New Roman" w:hAnsi="Times New Roman" w:cs="Times New Roman"/>
          <w:color w:val="000000" w:themeColor="text1"/>
          <w:sz w:val="24"/>
          <w:szCs w:val="24"/>
        </w:rPr>
      </w:pPr>
      <w:r w:rsidRPr="008B602D">
        <w:rPr>
          <w:rFonts w:ascii="Times New Roman" w:hAnsi="Times New Roman" w:cs="Times New Roman"/>
          <w:color w:val="000000" w:themeColor="text1"/>
          <w:sz w:val="24"/>
          <w:szCs w:val="24"/>
        </w:rPr>
        <w:t>The education systems and policies in Kerala and Karnataka differ significantly, which directly contributes to the variation observed in their government schooling systems. Each state has developed its educational infrastructure and school models based on a unique set of priorities, tailored to the needs of its population. Factors such as state-specific education policies, literacy levels, financial and political conditions, demographic composition, and geographic context play a crucial role in shaping how government schools are planned, managed, and resourced.</w:t>
      </w:r>
    </w:p>
    <w:p w14:paraId="29A66930" w14:textId="77777777" w:rsidR="008B602D" w:rsidRPr="008B602D" w:rsidRDefault="008B602D" w:rsidP="008B602D">
      <w:pPr>
        <w:spacing w:line="360" w:lineRule="auto"/>
        <w:rPr>
          <w:rFonts w:ascii="Times New Roman" w:hAnsi="Times New Roman" w:cs="Times New Roman"/>
          <w:color w:val="000000" w:themeColor="text1"/>
          <w:sz w:val="24"/>
          <w:szCs w:val="24"/>
        </w:rPr>
      </w:pPr>
      <w:r w:rsidRPr="008B602D">
        <w:rPr>
          <w:rFonts w:ascii="Times New Roman" w:hAnsi="Times New Roman" w:cs="Times New Roman"/>
          <w:color w:val="000000" w:themeColor="text1"/>
          <w:sz w:val="24"/>
          <w:szCs w:val="24"/>
        </w:rPr>
        <w:t>Kerala’s long-standing emphasis on universal education and high literacy has led to a policy framework that prioritizes quality, inclusivity, and accountability in public schooling. In contrast, Karnataka’s approach reflects a mix of efforts to bridge regional disparities and expand access to education across diverse socio-economic and linguistic communities. The allocation of resources, recruitment of teachers, and infrastructure development are thus influenced by these broader socio-political and economic considerations. </w:t>
      </w:r>
    </w:p>
    <w:p w14:paraId="701E1620" w14:textId="77777777" w:rsidR="008B602D" w:rsidRPr="008B602D" w:rsidRDefault="008B602D" w:rsidP="008B602D">
      <w:pPr>
        <w:spacing w:line="360" w:lineRule="auto"/>
        <w:rPr>
          <w:rFonts w:ascii="Times New Roman" w:hAnsi="Times New Roman" w:cs="Times New Roman"/>
          <w:color w:val="000000" w:themeColor="text1"/>
          <w:sz w:val="24"/>
          <w:szCs w:val="24"/>
        </w:rPr>
      </w:pPr>
      <w:r w:rsidRPr="008B602D">
        <w:rPr>
          <w:rFonts w:ascii="Times New Roman" w:hAnsi="Times New Roman" w:cs="Times New Roman"/>
          <w:color w:val="000000" w:themeColor="text1"/>
          <w:sz w:val="24"/>
          <w:szCs w:val="24"/>
        </w:rPr>
        <w:t xml:space="preserve">We could say that both the governments have set up the schools based on multiple factors and interest of their population. </w:t>
      </w:r>
    </w:p>
    <w:p w14:paraId="3053F085" w14:textId="77777777" w:rsidR="00BC3E72" w:rsidRDefault="00BC3E72"/>
    <w:sectPr w:rsidR="00BC3E72" w:rsidSect="008B602D">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02D"/>
    <w:rsid w:val="008B602D"/>
    <w:rsid w:val="00A361CA"/>
    <w:rsid w:val="00BC3E72"/>
    <w:rsid w:val="00CC675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3999"/>
  <w15:chartTrackingRefBased/>
  <w15:docId w15:val="{3AB0C6E5-62A4-4CC1-810E-5582165D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02D"/>
    <w:rPr>
      <w:rFonts w:eastAsiaTheme="majorEastAsia" w:cstheme="majorBidi"/>
      <w:color w:val="272727" w:themeColor="text1" w:themeTint="D8"/>
    </w:rPr>
  </w:style>
  <w:style w:type="paragraph" w:styleId="Title">
    <w:name w:val="Title"/>
    <w:basedOn w:val="Normal"/>
    <w:next w:val="Normal"/>
    <w:link w:val="TitleChar"/>
    <w:uiPriority w:val="10"/>
    <w:qFormat/>
    <w:rsid w:val="008B6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02D"/>
    <w:pPr>
      <w:spacing w:before="160"/>
      <w:jc w:val="center"/>
    </w:pPr>
    <w:rPr>
      <w:i/>
      <w:iCs/>
      <w:color w:val="404040" w:themeColor="text1" w:themeTint="BF"/>
    </w:rPr>
  </w:style>
  <w:style w:type="character" w:customStyle="1" w:styleId="QuoteChar">
    <w:name w:val="Quote Char"/>
    <w:basedOn w:val="DefaultParagraphFont"/>
    <w:link w:val="Quote"/>
    <w:uiPriority w:val="29"/>
    <w:rsid w:val="008B602D"/>
    <w:rPr>
      <w:i/>
      <w:iCs/>
      <w:color w:val="404040" w:themeColor="text1" w:themeTint="BF"/>
    </w:rPr>
  </w:style>
  <w:style w:type="paragraph" w:styleId="ListParagraph">
    <w:name w:val="List Paragraph"/>
    <w:basedOn w:val="Normal"/>
    <w:uiPriority w:val="34"/>
    <w:qFormat/>
    <w:rsid w:val="008B602D"/>
    <w:pPr>
      <w:ind w:left="720"/>
      <w:contextualSpacing/>
    </w:pPr>
  </w:style>
  <w:style w:type="character" w:styleId="IntenseEmphasis">
    <w:name w:val="Intense Emphasis"/>
    <w:basedOn w:val="DefaultParagraphFont"/>
    <w:uiPriority w:val="21"/>
    <w:qFormat/>
    <w:rsid w:val="008B602D"/>
    <w:rPr>
      <w:i/>
      <w:iCs/>
      <w:color w:val="2F5496" w:themeColor="accent1" w:themeShade="BF"/>
    </w:rPr>
  </w:style>
  <w:style w:type="paragraph" w:styleId="IntenseQuote">
    <w:name w:val="Intense Quote"/>
    <w:basedOn w:val="Normal"/>
    <w:next w:val="Normal"/>
    <w:link w:val="IntenseQuoteChar"/>
    <w:uiPriority w:val="30"/>
    <w:qFormat/>
    <w:rsid w:val="008B6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02D"/>
    <w:rPr>
      <w:i/>
      <w:iCs/>
      <w:color w:val="2F5496" w:themeColor="accent1" w:themeShade="BF"/>
    </w:rPr>
  </w:style>
  <w:style w:type="character" w:styleId="IntenseReference">
    <w:name w:val="Intense Reference"/>
    <w:basedOn w:val="DefaultParagraphFont"/>
    <w:uiPriority w:val="32"/>
    <w:qFormat/>
    <w:rsid w:val="008B60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023811">
      <w:bodyDiv w:val="1"/>
      <w:marLeft w:val="0"/>
      <w:marRight w:val="0"/>
      <w:marTop w:val="0"/>
      <w:marBottom w:val="0"/>
      <w:divBdr>
        <w:top w:val="none" w:sz="0" w:space="0" w:color="auto"/>
        <w:left w:val="none" w:sz="0" w:space="0" w:color="auto"/>
        <w:bottom w:val="none" w:sz="0" w:space="0" w:color="auto"/>
        <w:right w:val="none" w:sz="0" w:space="0" w:color="auto"/>
      </w:divBdr>
    </w:div>
    <w:div w:id="203877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NANDANA P</dc:creator>
  <cp:keywords/>
  <dc:description/>
  <cp:lastModifiedBy>DEVA NANDANA P</cp:lastModifiedBy>
  <cp:revision>1</cp:revision>
  <dcterms:created xsi:type="dcterms:W3CDTF">2025-07-03T19:25:00Z</dcterms:created>
  <dcterms:modified xsi:type="dcterms:W3CDTF">2025-07-03T19:32:00Z</dcterms:modified>
</cp:coreProperties>
</file>