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worked on a pitch deck highlighting critical child rights issues, including child labor, child marriage, female foeticide, child abuse, and child trafficking, supported by statistical data from reputable sources like the National Commission for Protection of Child Rights (NCPCR). The deck also elaborated on CRY's multi-faceted approach to safeguarding and uplifting underserved children.Followed by the submission of the ppt, i had a fruitful discussion of the same with my mentor going into lengths of discussing solutions to such issues in a developing country like India.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participated in an employee engagement program at ARM office, where employees engaged in a creative flashcard-making activity, designing Microsoft Excel shortcuts with doodles and drawings. These flashcards were compiled into a booklet to support STEM education for underserved children in CRY's project areas. During the program, our CRY team interacted with employees, discussing the organization's purpose, activities, and campaigns for protecting child rights and uplifting underprivileged children. Furthermore, we conducted a bag-packing activity, where employees enthusiastically packed 60 bags with new and colorful back-to-school goodies for underserved children.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these activities, I prepared a comprehensive document outlining relevant tax laws and legal nuances for NGOs, including reverse charge mechanisms in sponsorship events. I also created an infographic impact report highlighting CRY's achievements over the past year, showcasing the organization's commitment to its mission.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these efforts, I contributed to supporting underserved children and promoting child rights, while also fostering collaboration and creativity between ARM employees and CRY's beneficiaries</w:t>
      </w:r>
      <w:r w:rsidDel="00000000" w:rsidR="00000000" w:rsidRPr="00000000">
        <w:rPr>
          <w:rFonts w:ascii="Times New Roman" w:cs="Times New Roman" w:eastAsia="Times New Roman" w:hAnsi="Times New Roman"/>
          <w:sz w:val="24"/>
          <w:szCs w:val="24"/>
          <w:rtl w:val="0"/>
        </w:rPr>
        <w:t xml:space="preserve">. I had also created a fundraiser in Ketto supporting the CRY’s campaign of #poori padhai desh ki bhalai, through which i helped raise five thousand rupees.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indeed had a worthwhile experience at CRY, </w:t>
      </w:r>
      <w:hyperlink r:id="rId6">
        <w:r w:rsidDel="00000000" w:rsidR="00000000" w:rsidRPr="00000000">
          <w:rPr>
            <w:rFonts w:ascii="Times New Roman" w:cs="Times New Roman" w:eastAsia="Times New Roman" w:hAnsi="Times New Roman"/>
            <w:color w:val="1155cc"/>
            <w:sz w:val="24"/>
            <w:szCs w:val="24"/>
            <w:u w:val="single"/>
            <w:rtl w:val="0"/>
          </w:rPr>
          <w:t xml:space="preserve">Bangalor</w:t>
        </w:r>
      </w:hyperlink>
      <w:r w:rsidDel="00000000" w:rsidR="00000000" w:rsidRPr="00000000">
        <w:rPr>
          <w:rFonts w:ascii="Times New Roman" w:cs="Times New Roman" w:eastAsia="Times New Roman" w:hAnsi="Times New Roman"/>
          <w:sz w:val="24"/>
          <w:szCs w:val="24"/>
          <w:rtl w:val="0"/>
        </w:rPr>
        <w:t xml:space="preserve">e.This internship aided in expanding my theoretical understanding of Child Rights Laws and issues, i’m proud of the fact that as an intern at CRY, i was able to contribute to the cause of serving and upliftment of underserved children.</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angalor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