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odttf" ContentType="application/vnd.openxmlformats-officedocument.obfuscatedFont"/>
  <Default Extension="svg" ContentType="image/svg+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aera-mark.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Chapter 3</w:t>
      </w:r>
    </w:p>
    <w:p>
      <w:pPr>
        <w:pStyle w:val="Heading1"/>
      </w:pPr>
      <w:r>
        <w:t>System design</w:t>
      </w:r>
    </w:p>
    <w:p>
      <w:r>
        <w:t>AERA is a digital twin of the LRT Kelana Jaya Line. It runs every train on the published timetable at real Kuala Lumpur time and predicts how crowded each train, and each car, will be. Predictions come from twelve weeks of origin-destination ridership published on data.gov.my, shaped by hour of day.</w:t>
      </w:r>
    </w:p>
    <w:p>
      <w:pPr>
        <w:pStyle w:val="Heading2"/>
      </w:pPr>
      <w:r>
        <w:t>3.1 Crowding model</w:t>
      </w:r>
    </w:p>
    <w:p>
      <w:r>
        <w:t>Each train's load is the passenger flow on its track segment multiplied by the scheduled headway and divided by the train's capacity of 800 riders. The result is shown as one of five crowding levels, always with a label and an icon so it never relies on colour alone.</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02-splash-and-app.png"/>
                    <pic:cNvPicPr/>
                  </pic:nvPicPr>
                  <pic:blipFill>
                    <a:blip r:embed="rId10"/>
                    <a:stretch>
                      <a:fillRect/>
                    </a:stretch>
                  </pic:blipFill>
                  <pic:spPr>
                    <a:xfrm>
                      <a:off x="0" y="0"/>
                      <a:ext cx="4680000" cy="3120000"/>
                    </a:xfrm>
                    <a:prstGeom prst="rect"/>
                  </pic:spPr>
                </pic:pic>
              </a:graphicData>
            </a:graphic>
          </wp:inline>
        </w:drawing>
      </w:r>
    </w:p>
    <w:p>
      <w:pPr>
        <w:pStyle w:val="Caption"/>
      </w:pPr>
      <w:r>
        <w:t>Figure 3.1: Splash screen and app bar in the AERA rider app.</w:t>
      </w:r>
    </w:p>
    <w:tbl>
      <w:tblPr>
        <w:tblStyle w:val="AERATable"/>
        <w:tblW w:type="auto" w:w="0"/>
        <w:tblLook w:firstColumn="1" w:firstRow="1" w:lastColumn="0" w:lastRow="0" w:noHBand="0" w:noVBand="1" w:val="04A0"/>
      </w:tblPr>
      <w:tblGrid>
        <w:gridCol w:w="3024"/>
        <w:gridCol w:w="3024"/>
        <w:gridCol w:w="3024"/>
      </w:tblGrid>
      <w:tr>
        <w:tc>
          <w:tcPr>
            <w:tcW w:type="dxa" w:w="3024"/>
          </w:tcPr>
          <w:p>
            <w:r>
              <w:t>Level</w:t>
            </w:r>
          </w:p>
        </w:tc>
        <w:tc>
          <w:tcPr>
            <w:tcW w:type="dxa" w:w="3024"/>
          </w:tcPr>
          <w:p>
            <w:r>
              <w:t>Load</w:t>
            </w:r>
          </w:p>
        </w:tc>
        <w:tc>
          <w:tcPr>
            <w:tcW w:type="dxa" w:w="3024"/>
          </w:tcPr>
          <w:p>
            <w:r>
              <w:t>What riders see</w:t>
            </w:r>
          </w:p>
        </w:tc>
      </w:tr>
      <w:tr>
        <w:tc>
          <w:tcPr>
            <w:tcW w:type="dxa" w:w="3024"/>
          </w:tcPr>
          <w:p>
            <w:r>
              <w:t>Quiet</w:t>
            </w:r>
          </w:p>
        </w:tc>
        <w:tc>
          <w:tcPr>
            <w:tcW w:type="dxa" w:w="3024"/>
          </w:tcPr>
          <w:p>
            <w:r>
              <w:t>under 20%</w:t>
            </w:r>
          </w:p>
        </w:tc>
        <w:tc>
          <w:tcPr>
            <w:tcW w:type="dxa" w:w="3024"/>
          </w:tcPr>
          <w:p>
            <w:r>
              <w:t>Plenty of seats</w:t>
            </w:r>
          </w:p>
        </w:tc>
      </w:tr>
      <w:tr>
        <w:tc>
          <w:tcPr>
            <w:tcW w:type="dxa" w:w="3024"/>
          </w:tcPr>
          <w:p>
            <w:r>
              <w:t>Comfortable</w:t>
            </w:r>
          </w:p>
        </w:tc>
        <w:tc>
          <w:tcPr>
            <w:tcW w:type="dxa" w:w="3024"/>
          </w:tcPr>
          <w:p>
            <w:r>
              <w:t>20 to 50%</w:t>
            </w:r>
          </w:p>
        </w:tc>
        <w:tc>
          <w:tcPr>
            <w:tcW w:type="dxa" w:w="3024"/>
          </w:tcPr>
          <w:p>
            <w:r>
              <w:t>Some seats, easy standing</w:t>
            </w:r>
          </w:p>
        </w:tc>
      </w:tr>
      <w:tr>
        <w:tc>
          <w:tcPr>
            <w:tcW w:type="dxa" w:w="3024"/>
          </w:tcPr>
          <w:p>
            <w:r>
              <w:t>Busy</w:t>
            </w:r>
          </w:p>
        </w:tc>
        <w:tc>
          <w:tcPr>
            <w:tcW w:type="dxa" w:w="3024"/>
          </w:tcPr>
          <w:p>
            <w:r>
              <w:t>50 to 75%</w:t>
            </w:r>
          </w:p>
        </w:tc>
        <w:tc>
          <w:tcPr>
            <w:tcW w:type="dxa" w:w="3024"/>
          </w:tcPr>
          <w:p>
            <w:r>
              <w:t>Standing, room to move</w:t>
            </w:r>
          </w:p>
        </w:tc>
      </w:tr>
      <w:tr>
        <w:tc>
          <w:tcPr>
            <w:tcW w:type="dxa" w:w="3024"/>
          </w:tcPr>
          <w:p>
            <w:r>
              <w:t>Crowded</w:t>
            </w:r>
          </w:p>
        </w:tc>
        <w:tc>
          <w:tcPr>
            <w:tcW w:type="dxa" w:w="3024"/>
          </w:tcPr>
          <w:p>
            <w:r>
              <w:t>75 to 95%</w:t>
            </w:r>
          </w:p>
        </w:tc>
        <w:tc>
          <w:tcPr>
            <w:tcW w:type="dxa" w:w="3024"/>
          </w:tcPr>
          <w:p>
            <w:r>
              <w:t>Tight standing</w:t>
            </w:r>
          </w:p>
        </w:tc>
      </w:tr>
      <w:tr>
        <w:tc>
          <w:tcPr>
            <w:tcW w:type="dxa" w:w="3024"/>
          </w:tcPr>
          <w:p>
            <w:r>
              <w:t>Packed</w:t>
            </w:r>
          </w:p>
        </w:tc>
        <w:tc>
          <w:tcPr>
            <w:tcW w:type="dxa" w:w="3024"/>
          </w:tcPr>
          <w:p>
            <w:r>
              <w:t>95% and over</w:t>
            </w:r>
          </w:p>
        </w:tc>
        <w:tc>
          <w:tcPr>
            <w:tcW w:type="dxa" w:w="3024"/>
          </w:tcPr>
          <w:p>
            <w:r>
              <w:t>Consider the next train</w:t>
            </w:r>
          </w:p>
        </w:tc>
      </w:tr>
    </w:tbl>
    <w:p>
      <w:pPr>
        <w:pStyle w:val="Caption"/>
      </w:pPr>
      <w:r>
        <w:t>Table 3.1: Crowding levels and what riders see.</w:t>
      </w:r>
    </w:p>
    <w:p>
      <w:r>
        <w:br w:type="page"/>
      </w:r>
    </w:p>
    <w:p>
      <w:pPr>
        <w:pStyle w:val="Heading2"/>
      </w:pPr>
      <w:r>
        <w:t>3.2 Data sources</w:t>
      </w:r>
    </w:p>
    <w:p>
      <w:r>
        <w:t>The twin combines three kinds of data:</w:t>
      </w:r>
    </w:p>
    <w:p>
      <w:pPr>
        <w:pStyle w:val="ListBullet"/>
      </w:pPr>
      <w:r>
        <w:t>Prasarana's published timetable (GTFS Static) for every train and station.</w:t>
      </w:r>
    </w:p>
    <w:p>
      <w:pPr>
        <w:pStyle w:val="ListBullet"/>
      </w:pPr>
      <w:r>
        <w:t>Daily origin-destination ridership from data.gov.my, over a twelve-week window.</w:t>
      </w:r>
    </w:p>
    <w:p>
      <w:pPr>
        <w:pStyle w:val="ListBullet"/>
      </w:pPr>
      <w:r>
        <w:t>Rider reports and in-train sensors where they exist, weighted by age and reliability.</w:t>
      </w:r>
    </w:p>
    <w:p>
      <w:pPr>
        <w:pStyle w:val="Heading2"/>
      </w:pPr>
      <w:r>
        <w:t>3.3 Validation</w:t>
      </w:r>
    </w:p>
    <w:p>
      <w:r>
        <w:t>A back-test against held-out days gives a median daily error of 4.7%. Peaks are shaped by KTM Komuter's hourly pattern, smoothed over three hours, which may overstate LRT peaks.</w:t>
      </w:r>
    </w:p>
    <w:p>
      <w:pPr>
        <w:pStyle w:val="Quote"/>
      </w:pPr>
      <w:r>
        <w:t>Riders choose a quieter car when they can see one.</w:t>
      </w:r>
    </w:p>
    <w:sectPr w:rsidR="00FC693F" w:rsidRPr="0006063C" w:rsidSect="00034616">
      <w:headerReference w:type="default" r:id="rId9"/>
      <w:pgSz w:w="11906" w:h="16838"/>
      <w:pgMar w:top="1701" w:right="1417" w:bottom="1587" w:left="1417" w:header="737"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lus Jakarta Sans">
    <w:charset w:val="00"/>
    <w:family w:val="swiss"/>
    <w:pitch w:val="variable"/>
    <w:embedRegular r:id="rIdF1" w:fontKey="{677B7AE9-1F6D-4245-A33D-62B8131E0FC6}"/>
    <w:embedBold r:id="rIdF2" w:fontKey="{BA71FD5D-DCB4-4955-B82E-8FF838788FFC}"/>
  </w:font>
  <w:font w:name="Plus Jakarta Sans ExtraBold">
    <w:charset w:val="00"/>
    <w:family w:val="swiss"/>
    <w:pitch w:val="variable"/>
    <w:embedRegular r:id="rIdF3" w:fontKey="{93E326A3-3846-43B5-AF85-09A7CF5D7F46}"/>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xmlns:a="http://schemas.openxmlformats.org/drawingml/2006/main" xmlns:pic="http://schemas.openxmlformats.org/drawingml/2006/picture" xmlns:asvg="http://schemas.microsoft.com/office/drawing/2016/SVG/main">
      <w:rPr>
        <w:noProof/>
      </w:rPr>
      <mc:AlternateContent>
        <mc:Choice Requires="wps">
          <w:drawing>
            <wp:anchor distT="0" distB="0" distL="0" distR="0" simplePos="0" relativeHeight="251658240" behindDoc="1" locked="1" layoutInCell="1" allowOverlap="1">
              <wp:simplePos x="0" y="0"/>
              <wp:positionH relativeFrom="page">
                <wp:posOffset>360000</wp:posOffset>
              </wp:positionH>
              <wp:positionV relativeFrom="page">
                <wp:posOffset>360000</wp:posOffset>
              </wp:positionV>
              <wp:extent cx="6840000" cy="9972000"/>
              <wp:effectExtent l="0" t="0" r="0" b="0"/>
              <wp:wrapNone/>
              <wp:docPr id="9001" name="AERA frame"/>
              <wp:cNvGraphicFramePr/>
              <a:graphic>
                <a:graphicData uri="http://schemas.microsoft.com/office/word/2010/wordprocessingShape">
                  <wps:wsp>
                    <wps:cNvSpPr/>
                    <wps:spPr>
                      <a:xfrm>
                        <a:off x="0" y="0"/>
                        <a:ext cx="6840000" cy="9972000"/>
                      </a:xfrm>
                      <a:custGeom>
                        <a:avLst/>
                        <a:gdLst/>
                        <a:ahLst/>
                        <a:cxnLst/>
                        <a:rect l="0" t="0" r="r" b="b"/>
                        <a:pathLst>
                          <a:path w="6840000" h="9972000" fill="none">
                            <a:moveTo>
                              <a:pt x="576000" y="0"/>
                            </a:moveTo>
                            <a:lnTo>
                              <a:pt x="6660000" y="0"/>
                            </a:lnTo>
                            <a:arcTo wR="180000" hR="180000" stAng="16200000" swAng="5400000"/>
                            <a:lnTo>
                              <a:pt x="6840000" y="9792000"/>
                            </a:lnTo>
                            <a:arcTo wR="180000" hR="180000" stAng="0" swAng="5400000"/>
                            <a:lnTo>
                              <a:pt x="3780000" y="9972000"/>
                            </a:lnTo>
                            <a:moveTo>
                              <a:pt x="3060000" y="9972000"/>
                            </a:moveTo>
                            <a:lnTo>
                              <a:pt x="180000" y="9972000"/>
                            </a:lnTo>
                            <a:arcTo wR="180000" hR="180000" stAng="5400000" swAng="5400000"/>
                            <a:lnTo>
                              <a:pt x="0" y="468000"/>
                            </a:lnTo>
                          </a:path>
                        </a:pathLst>
                      </a:custGeom>
                      <a:noFill/>
                      <a:ln w="12700" cap="rnd">
                        <a:solidFill>
                          <a:srgbClr val="0A3180"/>
                        </a:solidFill>
                      </a:ln>
                    </wps:spPr>
                    <wps:bodyPr/>
                  </wps:wsp>
                </a:graphicData>
              </a:graphic>
            </wp:anchor>
          </w:drawing>
        </mc:Choice>
      </mc:AlternateContent>
    </w:r>
    <w:r xmlns:a="http://schemas.openxmlformats.org/drawingml/2006/main" xmlns:pic="http://schemas.openxmlformats.org/drawingml/2006/picture" xmlns:asvg="http://schemas.microsoft.com/office/drawing/2016/SVG/main">
      <w:rPr>
        <w:noProof/>
      </w:rPr>
      <w:drawing>
        <wp:anchor distT="0" distB="0" distL="0" distR="0" simplePos="0" relativeHeight="251659264" behindDoc="1" locked="1" layoutInCell="1" allowOverlap="1">
          <wp:simplePos x="0" y="0"/>
          <wp:positionH relativeFrom="page">
            <wp:posOffset>396000</wp:posOffset>
          </wp:positionH>
          <wp:positionV relativeFrom="page">
            <wp:posOffset>324000</wp:posOffset>
          </wp:positionV>
          <wp:extent cx="432000" cy="432000"/>
          <wp:effectExtent l="0" t="0" r="0" b="0"/>
          <wp:wrapNone/>
          <wp:docPr id="9002" name="AERA mark"/>
          <wp:cNvGraphicFramePr/>
          <a:graphic>
            <a:graphicData uri="http://schemas.openxmlformats.org/drawingml/2006/picture">
              <pic:pic>
                <pic:nvPicPr>
                  <pic:cNvPr id="9002" name="AERA mark"/>
                  <pic:cNvPicPr/>
                </pic:nvPicPr>
                <pic:blipFill>
                  <a:blip r:embed="rId1">
                    <a:extLst>
                      <a:ext uri="{96DAC541-7B7A-43D3-8B79-37D633B846F1}">
                        <asvg:svgBlip r:embed="rId2"/>
                      </a:ext>
                    </a:extLst>
                  </a:blip>
                  <a:stretch>
                    <a:fillRect/>
                  </a:stretch>
                </pic:blipFill>
                <pic:spPr>
                  <a:xfrm>
                    <a:off x="0" y="0"/>
                    <a:ext cx="432000" cy="432000"/>
                  </a:xfrm>
                  <a:prstGeom prst="rect">
                    <a:avLst/>
                  </a:prstGeom>
                </pic:spPr>
              </pic:pic>
            </a:graphicData>
          </a:graphic>
        </wp:anchor>
      </w:drawing>
    </w:r>
    <w:r xmlns:a="http://schemas.openxmlformats.org/drawingml/2006/main" xmlns:pic="http://schemas.openxmlformats.org/drawingml/2006/picture" xmlns:asvg="http://schemas.microsoft.com/office/drawing/2016/SVG/main">
      <w:rPr>
        <w:noProof/>
      </w:rPr>
      <mc:AlternateContent>
        <mc:Choice Requires="wps">
          <w:drawing>
            <wp:anchor distT="0" distB="0" distL="0" distR="0" simplePos="0" relativeHeight="251660288" behindDoc="0" locked="1" layoutInCell="1" allowOverlap="1">
              <wp:simplePos x="0" y="0"/>
              <wp:positionH relativeFrom="page">
                <wp:posOffset>3600000</wp:posOffset>
              </wp:positionH>
              <wp:positionV relativeFrom="page">
                <wp:posOffset>10242000</wp:posOffset>
              </wp:positionV>
              <wp:extent cx="360000" cy="180000"/>
              <wp:effectExtent l="0" t="0" r="0" b="0"/>
              <wp:wrapNone/>
              <wp:docPr id="9003" name="AERA page number"/>
              <wp:cNvGraphicFramePr/>
              <a:graphic>
                <a:graphicData uri="http://schemas.microsoft.com/office/word/2010/wordprocessingShape">
                  <wps:wsp>
                    <wps:cNvSpPr/>
                    <wps:spPr>
                      <a:xfrm>
                        <a:off x="0" y="0"/>
                        <a:ext cx="360000" cy="180000"/>
                      </a:xfrm>
                      <a:prstGeom prst="roundRect">
                        <a:avLst>
                          <a:gd name="adj" fmla="val 50000"/>
                        </a:avLst>
                      </a:prstGeom>
                      <a:solidFill>
                        <a:srgbClr val="0A3180"/>
                      </a:solidFill>
                      <a:ln>
                        <a:noFill/>
                      </a:ln>
                    </wps:spPr>
                    <wps:txbx>
                      <w:txbxContent>
                        <w:p>
                          <w:pPr>
                            <w:spacing w:before="0" w:after="0" w:line="240" w:lineRule="auto"/>
                            <w:jc w:val="center"/>
                            <w:rPr>
                              <w:rFonts w:ascii="Plus Jakarta Sans ExtraBold" w:hAnsi="Plus Jakarta Sans ExtraBold" w:cs="Plus Jakarta Sans ExtraBold"/>
                              <w:color w:val="FFFFFF"/>
                              <w:sz w:val="16"/>
                            </w:rPr>
                          </w:pPr>
                          <w:r>
                            <w:rPr>
                              <w:rFonts w:ascii="Plus Jakarta Sans ExtraBold" w:hAnsi="Plus Jakarta Sans ExtraBold" w:cs="Plus Jakarta Sans ExtraBold"/>
                              <w:color w:val="FFFFFF"/>
                              <w:sz w:val="16"/>
                            </w:rPr>
                            <w:fldChar w:fldCharType="begin"/>
                          </w:r>
                          <w:r>
                            <w:rPr>
                              <w:rFonts w:ascii="Plus Jakarta Sans ExtraBold" w:hAnsi="Plus Jakarta Sans ExtraBold" w:cs="Plus Jakarta Sans ExtraBold"/>
                              <w:color w:val="FFFFFF"/>
                              <w:sz w:val="16"/>
                            </w:rPr>
                            <w:instrText xml:space="preserve"> PAGE \* MERGEFORMAT </w:instrText>
                          </w:r>
                          <w:r>
                            <w:rPr>
                              <w:rFonts w:ascii="Plus Jakarta Sans ExtraBold" w:hAnsi="Plus Jakarta Sans ExtraBold" w:cs="Plus Jakarta Sans ExtraBold"/>
                              <w:color w:val="FFFFFF"/>
                              <w:sz w:val="16"/>
                            </w:rPr>
                            <w:fldChar w:fldCharType="separate"/>
                          </w:r>
                          <w:r>
                            <w:rPr>
                              <w:rFonts w:ascii="Plus Jakarta Sans ExtraBold" w:hAnsi="Plus Jakarta Sans ExtraBold" w:cs="Plus Jakarta Sans ExtraBold"/>
                              <w:color w:val="FFFFFF"/>
                              <w:sz w:val="16"/>
                            </w:rPr>
                            <w:t>1</w:t>
                          </w:r>
                          <w:r>
                            <w:rPr>
                              <w:rFonts w:ascii="Plus Jakarta Sans ExtraBold" w:hAnsi="Plus Jakarta Sans ExtraBold" w:cs="Plus Jakarta Sans ExtraBold"/>
                              <w:color w:val="FFFFFF"/>
                              <w:sz w:val="16"/>
                            </w:rPr>
                            <w:fldChar w:fldCharType="end"/>
                          </w:r>
                        </w:p>
                      </w:txbxContent>
                    </wps:txbx>
                    <wps:bodyPr rot="0" vert="horz" wrap="square" lIns="0" tIns="0" rIns="0" bIns="0" anchor="ctr" anchorCtr="0">
                      <a:noAutofit/>
                    </wps:bodyPr>
                  </wps:wsp>
                </a:graphicData>
              </a:graphic>
            </wp:anchor>
          </w:drawing>
        </mc:Choice>
      </mc:AlternateContent>
    </w:r>
    <w:r>
      <w:t>Advanced Ecosystem of Rail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lus Jakarta Sans" w:hAnsi="Plus Jakarta Sans" w:cs="Plus Jakarta Sans" w:eastAsia="Plus Jakarta Sans"/>
        <w:color w:val="0E1726"/>
        <w:sz w:val="21"/>
        <w:szCs w:val="21"/>
        <w:lang w:val="en-GB" w:eastAsia="en-US" w:bidi="ar-SA"/>
      </w:rPr>
    </w:rPrDefault>
    <w:pPrDefault>
      <w:pPr>
        <w:spacing w:after="120" w:line="312"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lus Jakarta Sans" w:hAnsi="Plus Jakarta Sans" w:cs="Plus Jakarta Sans" w:eastAsia="Plus Jakarta Sans"/>
      <w:i w:val="0"/>
      <w:caps w:val="0"/>
      <w:color w:val="64748B"/>
      <w:sz w:val="15"/>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lus Jakarta Sans" w:hAnsi="Plus Jakarta Sans" w:cs="Plus Jakarta Sans" w:eastAsia="Plus Jakarta Sans"/>
      <w:i w:val="0"/>
      <w:caps w:val="0"/>
      <w:color w:val="64748B"/>
      <w:sz w:val="15"/>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64" w:lineRule="auto"/>
      <w:outlineLvl w:val="0"/>
    </w:pPr>
    <w:rPr>
      <w:rFonts w:ascii="Plus Jakarta Sans ExtraBold" w:hAnsi="Plus Jakarta Sans ExtraBold" w:cs="Plus Jakarta Sans ExtraBold" w:eastAsia="Plus Jakarta Sans ExtraBold"/>
      <w:b w:val="0"/>
      <w:i w:val="0"/>
      <w:caps w:val="0"/>
      <w:color w:val="0E1726"/>
      <w:sz w:val="44"/>
      <w:szCs w:val="28"/>
    </w:rPr>
  </w:style>
  <w:style w:type="paragraph" w:styleId="Heading2">
    <w:name w:val="heading 2"/>
    <w:basedOn w:val="Normal"/>
    <w:next w:val="Normal"/>
    <w:link w:val="Heading2Char"/>
    <w:uiPriority w:val="9"/>
    <w:unhideWhenUsed/>
    <w:qFormat/>
    <w:rsid w:val="00FC693F"/>
    <w:pPr>
      <w:keepNext/>
      <w:keepLines/>
      <w:spacing w:before="280" w:after="80" w:line="264" w:lineRule="auto"/>
      <w:outlineLvl w:val="1"/>
    </w:pPr>
    <w:rPr>
      <w:rFonts w:ascii="Plus Jakarta Sans ExtraBold" w:hAnsi="Plus Jakarta Sans ExtraBold" w:cs="Plus Jakarta Sans ExtraBold" w:eastAsia="Plus Jakarta Sans ExtraBold"/>
      <w:b w:val="0"/>
      <w:i w:val="0"/>
      <w:caps w:val="0"/>
      <w:color w:val="0E1726"/>
      <w:sz w:val="27"/>
      <w:szCs w:val="26"/>
    </w:rPr>
  </w:style>
  <w:style w:type="paragraph" w:styleId="Heading3">
    <w:name w:val="heading 3"/>
    <w:basedOn w:val="Normal"/>
    <w:next w:val="Normal"/>
    <w:link w:val="Heading3Char"/>
    <w:uiPriority w:val="9"/>
    <w:unhideWhenUsed/>
    <w:qFormat/>
    <w:rsid w:val="00FC693F"/>
    <w:pPr>
      <w:keepNext/>
      <w:keepLines/>
      <w:spacing w:before="200" w:after="60" w:line="264" w:lineRule="auto"/>
      <w:outlineLvl w:val="2"/>
    </w:pPr>
    <w:rPr>
      <w:rFonts w:ascii="Plus Jakarta Sans ExtraBold" w:hAnsi="Plus Jakarta Sans ExtraBold" w:cs="Plus Jakarta Sans ExtraBold" w:eastAsia="Plus Jakarta Sans ExtraBold"/>
      <w:b w:val="0"/>
      <w:i w:val="0"/>
      <w:caps w:val="0"/>
      <w:color w:val="0A31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before="0"/>
      <w:contextualSpacing/>
    </w:pPr>
    <w:rPr>
      <w:rFonts w:ascii="Plus Jakarta Sans ExtraBold" w:hAnsi="Plus Jakarta Sans ExtraBold" w:cs="Plus Jakarta Sans ExtraBold" w:eastAsia="Plus Jakarta Sans ExtraBold"/>
      <w:b w:val="0"/>
      <w:i w:val="0"/>
      <w:caps w:val="0"/>
      <w:color w:val="0E17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Plus Jakarta Sans" w:hAnsi="Plus Jakarta Sans" w:cs="Plus Jakarta Sans" w:eastAsia="Plus Jakarta Sans"/>
      <w:i w:val="0"/>
      <w:iCs/>
      <w:caps w:val="0"/>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lus Jakarta Sans" w:hAnsi="Plus Jakarta Sans" w:cs="Plus Jakarta Sans" w:eastAsia="Plus Jakarta Sans"/>
      <w:i w:val="0"/>
      <w:caps w:val="0"/>
      <w:color w:val="0E1726"/>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lus Jakarta Sans" w:hAnsi="Plus Jakarta Sans" w:cs="Plus Jakarta Sans" w:eastAsia="Plus Jakarta Sans"/>
      <w:i w:val="0"/>
      <w:caps w:val="0"/>
      <w:color w:val="0E1726"/>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lus Jakarta Sans" w:hAnsi="Plus Jakarta Sans" w:cs="Plus Jakarta Sans" w:eastAsia="Plus Jakarta Sans"/>
      <w:i w:val="0"/>
      <w:iCs/>
      <w:caps w:val="0"/>
      <w:color w:val="0A318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Plus Jakarta Sans" w:hAnsi="Plus Jakarta Sans" w:cs="Plus Jakarta Sans" w:eastAsia="Plus Jakarta Sans"/>
      <w:b w:val="0"/>
      <w:i w:val="0"/>
      <w:caps w:val="0"/>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Normal"/>
    <w:next w:val="Heading1"/>
    <w:qFormat/>
    <w:pPr>
      <w:keepNext/>
      <w:spacing w:after="40"/>
    </w:pPr>
    <w:rPr>
      <w:rFonts w:ascii="Plus Jakarta Sans ExtraBold" w:hAnsi="Plus Jakarta Sans ExtraBold" w:cs="Plus Jakarta Sans ExtraBold" w:eastAsia="Plus Jakarta Sans ExtraBold"/>
      <w:b w:val="0"/>
      <w:i w:val="0"/>
      <w:caps/>
      <w:color w:val="0284C7"/>
      <w:spacing w:val="28"/>
      <w:sz w:val="16"/>
    </w:rPr>
  </w:style>
  <w:style w:type="character" w:customStyle="1" w:styleId="StrongAERA">
    <w:name w:val="Strong AERA"/>
    <w:qFormat/>
    <w:rPr>
      <w:rFonts w:ascii="Plus Jakarta Sans ExtraBold" w:hAnsi="Plus Jakarta Sans ExtraBold" w:cs="Plus Jakarta Sans ExtraBold" w:eastAsia="Plus Jakarta Sans ExtraBold"/>
      <w:i w:val="0"/>
      <w:caps w:val="0"/>
    </w:rPr>
  </w:style>
  <w:style w:type="table" w:customStyle="1" w:styleId="AERATable">
    <w:name w:val="AERA Table"/>
    <w:basedOn w:val="TableNormal"/>
    <w:uiPriority w:val="40"/>
    <w:qFormat/>
    <w:pPr>
      <w:spacing w:before="40" w:after="40" w:line="240" w:lineRule="auto"/>
    </w:pPr>
    <w:rPr>
      <w:sz w:val="18"/>
    </w:rPr>
    <w:tblPr>
      <w:tblBorders>
        <w:bottom w:val="single" w:sz="4" w:space="0" w:color="CFD6E3"/>
        <w:insideH w:val="single" w:sz="4" w:space="0" w:color="E6EAF2"/>
      </w:tblBorders>
      <w:tblCellMar>
        <w:top w:w="57" w:type="dxa"/>
        <w:left w:w="113" w:type="dxa"/>
        <w:bottom w:w="57" w:type="dxa"/>
        <w:right w:w="113" w:type="dxa"/>
      </w:tblCellMar>
    </w:tblPr>
    <w:tblStylePr w:type="firstRow">
      <w:rPr>
        <w:rFonts w:ascii="Plus Jakarta Sans ExtraBold" w:hAnsi="Plus Jakarta Sans ExtraBold" w:cs="Plus Jakarta Sans ExtraBold"/>
        <w:color w:val="0A3180"/>
      </w:rPr>
      <w:tcPr>
        <w:shd w:val="clear" w:color="auto" w:fill="EAF1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aera-mark.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lus Jakarta Sa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lus Jakarta Sa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AERA report</dc:title>
  <dc:subject/>
  <dc:creator>Mahendra Tanjung</dc:creator>
  <cp:keywords/>
  <dc:description/>
  <cp:lastModifiedBy>Mahendra Tanjung</cp:lastModifiedBy>
  <cp:revision>1</cp:revision>
  <dcterms:created xsi:type="dcterms:W3CDTF">2013-12-23T23:15:00Z</dcterms:created>
  <dcterms:modified xsi:type="dcterms:W3CDTF">2013-12-23T23:15:00Z</dcterms:modified>
  <cp:category/>
</cp:coreProperties>
</file>