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Downtime Response Orchestrator</w:t>
      </w:r>
    </w:p>
    <w:p>
      <w:pPr>
        <w:pStyle w:val="Heading2"/>
      </w:pPr>
      <w:r>
        <w:t>Business and Operational Overview</w:t>
      </w:r>
    </w:p>
    <w:p>
      <w:r>
        <w:rPr>
          <w:b/>
        </w:rPr>
        <w:t>Document version:</w:t>
      </w:r>
      <w:r>
        <w:t xml:space="preserve"> 1.1 </w:t>
      </w:r>
      <w:r>
        <w:rPr>
          <w:b/>
        </w:rPr>
        <w:t>Prepared:</w:t>
      </w:r>
      <w:r>
        <w:t xml:space="preserve"> 26 August 2026 </w:t>
      </w:r>
      <w:r>
        <w:rPr>
          <w:b/>
        </w:rPr>
        <w:t>Audience:</w:t>
      </w:r>
      <w:r>
        <w:t xml:space="preserve"> Executive management, plant leadership, operations, reliability, maintenance, safety and controls stakeholders</w:t>
      </w:r>
    </w:p>
    <w:p>
      <w:pPr>
        <w:pStyle w:val="Heading2"/>
      </w:pPr>
      <w:r>
        <w:t>1. Executive overview</w:t>
      </w:r>
    </w:p>
    <w:p>
      <w:r>
        <w:t>The Downtime Response Orchestrator provides a structured approach to bearing-related equipment decisions. It brings together condition evidence, fault assessment, remaining useful life, operational consequence, approved maintenance knowledge, human authorization, execution tracking and lessons learned within one governed workflow.</w:t>
      </w:r>
    </w:p>
    <w:p>
      <w:r>
        <w:t>The solution is designed to answer the questions that matter during a potential equipment failure:</w:t>
      </w:r>
    </w:p>
    <w:p>
      <w:pPr>
        <w:pStyle w:val="ListBullet"/>
      </w:pPr>
      <w:r>
        <w:t>Is the information sufficiently reliable to support a decision?</w:t>
      </w:r>
    </w:p>
    <w:p>
      <w:pPr>
        <w:pStyle w:val="ListBullet"/>
      </w:pPr>
      <w:r>
        <w:t>Is the equipment operating normally or showing credible deterioration?</w:t>
      </w:r>
    </w:p>
    <w:p>
      <w:pPr>
        <w:pStyle w:val="ListBullet"/>
      </w:pPr>
      <w:r>
        <w:t>What is the likely fault and how confident is the assessment?</w:t>
      </w:r>
    </w:p>
    <w:p>
      <w:pPr>
        <w:pStyle w:val="ListBullet"/>
      </w:pPr>
      <w:r>
        <w:t>How much operating time may remain?</w:t>
      </w:r>
    </w:p>
    <w:p>
      <w:pPr>
        <w:pStyle w:val="ListBullet"/>
      </w:pPr>
      <w:r>
        <w:t>What are the consequences of acting now or deferring action?</w:t>
      </w:r>
    </w:p>
    <w:p>
      <w:pPr>
        <w:pStyle w:val="ListBullet"/>
      </w:pPr>
      <w:r>
        <w:t>Which procedure, resources and safety controls are applicable?</w:t>
      </w:r>
    </w:p>
    <w:p>
      <w:pPr>
        <w:pStyle w:val="ListBullet"/>
      </w:pPr>
      <w:r>
        <w:t>Who is authorized to decide?</w:t>
      </w:r>
    </w:p>
    <w:p>
      <w:pPr>
        <w:pStyle w:val="ListBullet"/>
      </w:pPr>
      <w:r>
        <w:t>Was the approved action completed, and what should the organization retain as</w:t>
      </w:r>
    </w:p>
    <w:p>
      <w:r>
        <w:t>a lesson?</w:t>
      </w:r>
    </w:p>
    <w:p>
      <w:r>
        <w:t xml:space="preserve">The core business principle is straightforward: </w:t>
      </w:r>
      <w:r>
        <w:rPr>
          <w:b/>
        </w:rPr>
        <w:t>no asset-specific conclusion is presented without supporting evidence, and no maintenance action is executed without the required human authority.</w:t>
      </w:r>
    </w:p>
    <w:p>
      <w:pPr>
        <w:pStyle w:val="Heading2"/>
      </w:pPr>
      <w:r>
        <w:t>2. Business purpose</w:t>
      </w:r>
    </w:p>
    <w:p>
      <w:r>
        <w:t>Condition-monitoring information is often distributed across operational, engineering, maintenance and safety functions. This can lead to delayed decisions, inconsistent handovers and incomplete traceability. The Downtime Response Orchestrator creates a common decision framework while preserving the different responsibilities of each function.</w:t>
      </w:r>
    </w:p>
    <w:p>
      <w:r>
        <w:t>The intended business benefits are:</w:t>
      </w:r>
    </w:p>
    <w:p>
      <w:pPr>
        <w:pStyle w:val="ListNumber"/>
      </w:pPr>
      <w:r>
        <w:rPr>
          <w:b/>
        </w:rPr>
        <w:t>Faster response:</w:t>
      </w:r>
      <w:r>
        <w:t xml:space="preserve"> reduce the time from credible equipment concern to an</w:t>
      </w:r>
    </w:p>
    <w:p>
      <w:r>
        <w:t>authorized action.</w:t>
      </w:r>
    </w:p>
    <w:p>
      <w:pPr>
        <w:pStyle w:val="ListNumber"/>
      </w:pPr>
      <w:r>
        <w:rPr>
          <w:b/>
        </w:rPr>
        <w:t>Consistent decisions:</w:t>
      </w:r>
      <w:r>
        <w:t xml:space="preserve"> apply the same evidence, severity and authorization</w:t>
      </w:r>
    </w:p>
    <w:p>
      <w:r>
        <w:t>policies across assets and shifts.</w:t>
      </w:r>
    </w:p>
    <w:p>
      <w:pPr>
        <w:pStyle w:val="ListNumber"/>
      </w:pPr>
      <w:r>
        <w:rPr>
          <w:b/>
        </w:rPr>
        <w:t>Reduced unplanned downtime:</w:t>
      </w:r>
      <w:r>
        <w:t xml:space="preserve"> support intervention within the assessed</w:t>
      </w:r>
    </w:p>
    <w:p>
      <w:r>
        <w:t>operating window.</w:t>
      </w:r>
    </w:p>
    <w:p>
      <w:pPr>
        <w:pStyle w:val="ListNumber"/>
      </w:pPr>
      <w:r>
        <w:rPr>
          <w:b/>
        </w:rPr>
        <w:t>Improved coordination:</w:t>
      </w:r>
      <w:r>
        <w:t xml:space="preserve"> present each function with the information and</w:t>
      </w:r>
    </w:p>
    <w:p>
      <w:r>
        <w:t>actions relevant to its accountability.</w:t>
      </w:r>
    </w:p>
    <w:p>
      <w:pPr>
        <w:pStyle w:val="ListNumber"/>
      </w:pPr>
      <w:r>
        <w:rPr>
          <w:b/>
        </w:rPr>
        <w:t>Safer execution:</w:t>
      </w:r>
      <w:r>
        <w:t xml:space="preserve"> keep isolation, permit, procedure and qualification</w:t>
      </w:r>
    </w:p>
    <w:p>
      <w:r>
        <w:t>requirements visible throughout the decision.</w:t>
      </w:r>
    </w:p>
    <w:p>
      <w:pPr>
        <w:pStyle w:val="ListNumber"/>
      </w:pPr>
      <w:r>
        <w:rPr>
          <w:b/>
        </w:rPr>
        <w:t>Clear governance:</w:t>
      </w:r>
      <w:r>
        <w:t xml:space="preserve"> record decision ownership, escalation and rationale.</w:t>
      </w:r>
    </w:p>
    <w:p>
      <w:pPr>
        <w:pStyle w:val="ListNumber"/>
      </w:pPr>
      <w:r>
        <w:rPr>
          <w:b/>
        </w:rPr>
        <w:t>Institutional learning:</w:t>
      </w:r>
      <w:r>
        <w:t xml:space="preserve"> retain validated outcomes and make them available</w:t>
      </w:r>
    </w:p>
    <w:p>
      <w:r>
        <w:t>for future cases.</w:t>
      </w:r>
    </w:p>
    <w:p>
      <w:pPr>
        <w:pStyle w:val="Heading2"/>
      </w:pPr>
      <w:r>
        <w:t>3. End-to-end decision process</w:t>
      </w:r>
    </w:p>
    <w:p>
      <w:r>
        <w:t>The solution follows eight governed stages.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Stage</w:t>
            </w:r>
          </w:p>
        </w:tc>
        <w:tc>
          <w:tcPr>
            <w:tcW w:type="dxa" w:w="3360"/>
            <w:vAlign w:val="center"/>
            <w:shd w:fill="D9EAF7"/>
          </w:tcPr>
          <w:p>
            <w:r>
              <w:rPr>
                <w:b/>
              </w:rPr>
            </w:r>
            <w:r>
              <w:rPr>
                <w:b/>
              </w:rPr>
              <w:t>Business question</w:t>
            </w:r>
          </w:p>
        </w:tc>
        <w:tc>
          <w:tcPr>
            <w:tcW w:type="dxa" w:w="3360"/>
            <w:vAlign w:val="center"/>
            <w:shd w:fill="D9EAF7"/>
          </w:tcPr>
          <w:p>
            <w:r>
              <w:rPr>
                <w:b/>
              </w:rPr>
            </w:r>
            <w:r>
              <w:rPr>
                <w:b/>
              </w:rPr>
              <w:t>Outcome</w:t>
            </w:r>
          </w:p>
        </w:tc>
      </w:tr>
      <w:tr>
        <w:tc>
          <w:tcPr>
            <w:tcW w:type="dxa" w:w="3360"/>
            <w:vAlign w:val="center"/>
          </w:tcPr>
          <w:p>
            <w:r/>
            <w:r>
              <w:t>1. Data foundation</w:t>
            </w:r>
          </w:p>
        </w:tc>
        <w:tc>
          <w:tcPr>
            <w:tcW w:type="dxa" w:w="3360"/>
            <w:vAlign w:val="center"/>
          </w:tcPr>
          <w:p>
            <w:r/>
            <w:r>
              <w:t>Is the information trustworthy, timely and correctly associated with the asset?</w:t>
            </w:r>
          </w:p>
        </w:tc>
        <w:tc>
          <w:tcPr>
            <w:tcW w:type="dxa" w:w="3360"/>
            <w:vAlign w:val="center"/>
          </w:tcPr>
          <w:p>
            <w:r/>
            <w:r>
              <w:t>Accept, review or reject the event</w:t>
            </w:r>
          </w:p>
        </w:tc>
      </w:tr>
      <w:tr>
        <w:tc>
          <w:tcPr>
            <w:tcW w:type="dxa" w:w="3360"/>
            <w:vAlign w:val="center"/>
          </w:tcPr>
          <w:p>
            <w:r/>
            <w:r>
              <w:t>2. Condition monitoring</w:t>
            </w:r>
          </w:p>
        </w:tc>
        <w:tc>
          <w:tcPr>
            <w:tcW w:type="dxa" w:w="3360"/>
            <w:vAlign w:val="center"/>
          </w:tcPr>
          <w:p>
            <w:r/>
            <w:r>
              <w:t>Is the equipment behaviour normal for its operating condition?</w:t>
            </w:r>
          </w:p>
        </w:tc>
        <w:tc>
          <w:tcPr>
            <w:tcW w:type="dxa" w:w="3360"/>
            <w:vAlign w:val="center"/>
          </w:tcPr>
          <w:p>
            <w:r/>
            <w:r>
              <w:t>Healthy, anomalous, suppressed or insufficient evidence</w:t>
            </w:r>
          </w:p>
        </w:tc>
      </w:tr>
      <w:tr>
        <w:tc>
          <w:tcPr>
            <w:tcW w:type="dxa" w:w="3360"/>
            <w:vAlign w:val="center"/>
          </w:tcPr>
          <w:p>
            <w:r/>
            <w:r>
              <w:t>3. Failure intelligence</w:t>
            </w:r>
          </w:p>
        </w:tc>
        <w:tc>
          <w:tcPr>
            <w:tcW w:type="dxa" w:w="3360"/>
            <w:vAlign w:val="center"/>
          </w:tcPr>
          <w:p>
            <w:r/>
            <w:r>
              <w:t>Which supported fault best matches the evidence?</w:t>
            </w:r>
          </w:p>
        </w:tc>
        <w:tc>
          <w:tcPr>
            <w:tcW w:type="dxa" w:w="3360"/>
            <w:vAlign w:val="center"/>
          </w:tcPr>
          <w:p>
            <w:r/>
            <w:r>
              <w:t>Diagnosed fault, severity and confidence, or undetermined result</w:t>
            </w:r>
          </w:p>
        </w:tc>
      </w:tr>
      <w:tr>
        <w:tc>
          <w:tcPr>
            <w:tcW w:type="dxa" w:w="3360"/>
            <w:vAlign w:val="center"/>
          </w:tcPr>
          <w:p>
            <w:r/>
            <w:r>
              <w:t>4. Predictive risk</w:t>
            </w:r>
          </w:p>
        </w:tc>
        <w:tc>
          <w:tcPr>
            <w:tcW w:type="dxa" w:w="3360"/>
            <w:vAlign w:val="center"/>
          </w:tcPr>
          <w:p>
            <w:r/>
            <w:r>
              <w:t>What is the remaining operating window and consequence?</w:t>
            </w:r>
          </w:p>
        </w:tc>
        <w:tc>
          <w:tcPr>
            <w:tcW w:type="dxa" w:w="3360"/>
            <w:vAlign w:val="center"/>
          </w:tcPr>
          <w:p>
            <w:r/>
            <w:r>
              <w:t>RUL, failure probability, risk level and exposure</w:t>
            </w:r>
          </w:p>
        </w:tc>
      </w:tr>
      <w:tr>
        <w:tc>
          <w:tcPr>
            <w:tcW w:type="dxa" w:w="3360"/>
            <w:vAlign w:val="center"/>
          </w:tcPr>
          <w:p>
            <w:r/>
            <w:r>
              <w:t>5. Knowledge guidance</w:t>
            </w:r>
          </w:p>
        </w:tc>
        <w:tc>
          <w:tcPr>
            <w:tcW w:type="dxa" w:w="3360"/>
            <w:vAlign w:val="center"/>
          </w:tcPr>
          <w:p>
            <w:r/>
            <w:r>
              <w:t>Which approved procedure and prior cases apply?</w:t>
            </w:r>
          </w:p>
        </w:tc>
        <w:tc>
          <w:tcPr>
            <w:tcW w:type="dxa" w:w="3360"/>
            <w:vAlign w:val="center"/>
          </w:tcPr>
          <w:p>
            <w:r/>
            <w:r>
              <w:t>Cited guidance or an explicit request for manual review</w:t>
            </w:r>
          </w:p>
        </w:tc>
      </w:tr>
      <w:tr>
        <w:tc>
          <w:tcPr>
            <w:tcW w:type="dxa" w:w="3360"/>
            <w:vAlign w:val="center"/>
          </w:tcPr>
          <w:p>
            <w:r/>
            <w:r>
              <w:t>6. Action optimization</w:t>
            </w:r>
          </w:p>
        </w:tc>
        <w:tc>
          <w:tcPr>
            <w:tcW w:type="dxa" w:w="3360"/>
            <w:vAlign w:val="center"/>
          </w:tcPr>
          <w:p>
            <w:r/>
            <w:r>
              <w:t>What feasible response best balances risk, time and resources?</w:t>
            </w:r>
          </w:p>
        </w:tc>
        <w:tc>
          <w:tcPr>
            <w:tcW w:type="dxa" w:w="3360"/>
            <w:vAlign w:val="center"/>
          </w:tcPr>
          <w:p>
            <w:r/>
            <w:r>
              <w:t>Ranked action, rationale, timing and decision support</w:t>
            </w:r>
          </w:p>
        </w:tc>
      </w:tr>
      <w:tr>
        <w:tc>
          <w:tcPr>
            <w:tcW w:type="dxa" w:w="3360"/>
            <w:vAlign w:val="center"/>
          </w:tcPr>
          <w:p>
            <w:r/>
            <w:r>
              <w:t>7. Authorized execution</w:t>
            </w:r>
          </w:p>
        </w:tc>
        <w:tc>
          <w:tcPr>
            <w:tcW w:type="dxa" w:w="3360"/>
            <w:vAlign w:val="center"/>
          </w:tcPr>
          <w:p>
            <w:r/>
            <w:r>
              <w:t>Has the responsible person approved and initiated the action?</w:t>
            </w:r>
          </w:p>
        </w:tc>
        <w:tc>
          <w:tcPr>
            <w:tcW w:type="dxa" w:w="3360"/>
            <w:vAlign w:val="center"/>
          </w:tcPr>
          <w:p>
            <w:r/>
            <w:r>
              <w:t>Work and notification status with exceptions clearly identified</w:t>
            </w:r>
          </w:p>
        </w:tc>
      </w:tr>
      <w:tr>
        <w:tc>
          <w:tcPr>
            <w:tcW w:type="dxa" w:w="3360"/>
            <w:vAlign w:val="center"/>
          </w:tcPr>
          <w:p>
            <w:r/>
            <w:r>
              <w:t>8. Learning and memory</w:t>
            </w:r>
          </w:p>
        </w:tc>
        <w:tc>
          <w:tcPr>
            <w:tcW w:type="dxa" w:w="3360"/>
            <w:vAlign w:val="center"/>
          </w:tcPr>
          <w:p>
            <w:r/>
            <w:r>
              <w:t>What confirmed outcome should be retained?</w:t>
            </w:r>
          </w:p>
        </w:tc>
        <w:tc>
          <w:tcPr>
            <w:tcW w:type="dxa" w:w="3360"/>
            <w:vAlign w:val="center"/>
          </w:tcPr>
          <w:p>
            <w:r/>
            <w:r>
              <w:t>Validated lesson available for future retrieval</w:t>
            </w:r>
          </w:p>
        </w:tc>
      </w:tr>
    </w:tbl>
    <w:p>
      <w:r>
        <w:t>The workflow stops when the available evidence is not sufficient for the next decision. For example, an unknown asset does not receive a fault diagnosis, a healthy reading does not create unnecessary work, and a recommendation that requires approval does not proceed merely because it was requested in a chat.</w:t>
      </w:r>
    </w:p>
    <w:p>
      <w:pPr>
        <w:pStyle w:val="Heading2"/>
      </w:pPr>
      <w:r>
        <w:t>4. Role-based operating model</w:t>
      </w:r>
    </w:p>
    <w:p>
      <w:r>
        <w:t>The same verified case is presented differently to seven business personas. This changes emphasis and responsibility, not the underlying facts.</w:t>
      </w:r>
    </w:p>
    <w:p>
      <w:pPr>
        <w:pStyle w:val="Heading3"/>
      </w:pPr>
      <w:r>
        <w:t>4.1 Plant Supervisor — James Kowalski</w:t>
      </w:r>
    </w:p>
    <w:p>
      <w:r>
        <w:rPr>
          <w:b/>
        </w:rPr>
        <w:t>Primary accountability:</w:t>
      </w:r>
      <w:r>
        <w:t xml:space="preserve"> line-level operating decisions, run/defer judgement, operator briefing, shift handover and escalation.</w:t>
      </w:r>
    </w:p>
    <w:p>
      <w:r>
        <w:rPr>
          <w:b/>
        </w:rPr>
        <w:t>Information priority:</w:t>
      </w:r>
      <w:r>
        <w:t xml:space="preserve"> severity, RUL, immediate consequence, current vibration and temperature, decision required and time available.</w:t>
      </w:r>
    </w:p>
    <w:p>
      <w:r>
        <w:rPr>
          <w:b/>
        </w:rPr>
        <w:t>Typical actions:</w:t>
      </w:r>
      <w:r>
        <w:t xml:space="preserve"> approve within authority, brief operators, coordinate the shift response and escalate higher-value decisions.</w:t>
      </w:r>
    </w:p>
    <w:p>
      <w:r>
        <w:rPr>
          <w:b/>
        </w:rPr>
        <w:t>Configured authority:</w:t>
      </w:r>
      <w:r>
        <w:t xml:space="preserve"> USD 100,000.</w:t>
      </w:r>
    </w:p>
    <w:p>
      <w:pPr>
        <w:pStyle w:val="Heading3"/>
      </w:pPr>
      <w:r>
        <w:t>4.2 Reliability Engineer — Priya Nair</w:t>
      </w:r>
    </w:p>
    <w:p>
      <w:r>
        <w:rPr>
          <w:b/>
        </w:rPr>
        <w:t>Primary accountability:</w:t>
      </w:r>
      <w:r>
        <w:t xml:space="preserve"> technical diagnosis, fault validation, confidence assessment, RUL interpretation, historical comparison and post-repair acceptance criteria.</w:t>
      </w:r>
    </w:p>
    <w:p>
      <w:r>
        <w:rPr>
          <w:b/>
        </w:rPr>
        <w:t>Information priority:</w:t>
      </w:r>
      <w:r>
        <w:t xml:space="preserve"> fault signature, stage, confidence, alternative explanations, degradation pattern and applicable prior cases.</w:t>
      </w:r>
    </w:p>
    <w:p>
      <w:r>
        <w:rPr>
          <w:b/>
        </w:rPr>
        <w:t>Typical actions:</w:t>
      </w:r>
      <w:r>
        <w:t xml:space="preserve"> confirm or challenge the diagnosis, conduct detailed analysis, compare similar cases and define the post-repair baseline.</w:t>
      </w:r>
    </w:p>
    <w:p>
      <w:pPr>
        <w:pStyle w:val="Heading3"/>
      </w:pPr>
      <w:r>
        <w:t>4.3 Maintenance Planner — Tom Rodriguez</w:t>
      </w:r>
    </w:p>
    <w:p>
      <w:r>
        <w:rPr>
          <w:b/>
        </w:rPr>
        <w:t>Primary accountability:</w:t>
      </w:r>
      <w:r>
        <w:t xml:space="preserve"> parts, crew, job preparation, maintenance window, duration and execution sequence.</w:t>
      </w:r>
    </w:p>
    <w:p>
      <w:r>
        <w:rPr>
          <w:b/>
        </w:rPr>
        <w:t>Information priority:</w:t>
      </w:r>
      <w:r>
        <w:t xml:space="preserve"> recommended action, parts requirement, labour and crew qualification, procedure, isolation requirement and completion deadline.</w:t>
      </w:r>
    </w:p>
    <w:p>
      <w:r>
        <w:rPr>
          <w:b/>
        </w:rPr>
        <w:t>Typical actions:</w:t>
      </w:r>
      <w:r>
        <w:t xml:space="preserve"> confirm materials, allocate the crew, prepare the job pack and schedule the approved work.</w:t>
      </w:r>
    </w:p>
    <w:p>
      <w:pPr>
        <w:pStyle w:val="Heading3"/>
      </w:pPr>
      <w:r>
        <w:t>4.4 Plant Manager — Sarah Chen</w:t>
      </w:r>
    </w:p>
    <w:p>
      <w:r>
        <w:rPr>
          <w:b/>
        </w:rPr>
        <w:t>Primary accountability:</w:t>
      </w:r>
      <w:r>
        <w:t xml:space="preserve"> production and maintenance trade-offs, financial consequence, contingency planning and high-value line decisions.</w:t>
      </w:r>
    </w:p>
    <w:p>
      <w:r>
        <w:rPr>
          <w:b/>
        </w:rPr>
        <w:t>Information priority:</w:t>
      </w:r>
      <w:r>
        <w:t xml:space="preserve"> risk, planned versus deferred cost, operational impact, timing and approval authority.</w:t>
      </w:r>
    </w:p>
    <w:p>
      <w:r>
        <w:rPr>
          <w:b/>
        </w:rPr>
        <w:t>Typical actions:</w:t>
      </w:r>
      <w:r>
        <w:t xml:space="preserve"> approve within authority, adjust the production plan and establish a contingency if the work is delayed or extended.</w:t>
      </w:r>
    </w:p>
    <w:p>
      <w:r>
        <w:rPr>
          <w:b/>
        </w:rPr>
        <w:t>Configured authority:</w:t>
      </w:r>
      <w:r>
        <w:t xml:space="preserve"> USD 1,000,000.</w:t>
      </w:r>
    </w:p>
    <w:p>
      <w:pPr>
        <w:pStyle w:val="Heading3"/>
      </w:pPr>
      <w:r>
        <w:t>4.5 VP Operations — Michael Osei</w:t>
      </w:r>
    </w:p>
    <w:p>
      <w:r>
        <w:rPr>
          <w:b/>
        </w:rPr>
        <w:t>Primary accountability:</w:t>
      </w:r>
      <w:r>
        <w:t xml:space="preserve"> portfolio risk, reliability performance, financial return and strategic oversight. The “MD” role is treated as this executive persona.</w:t>
      </w:r>
    </w:p>
    <w:p>
      <w:r>
        <w:rPr>
          <w:b/>
        </w:rPr>
        <w:t>Information priority:</w:t>
      </w:r>
      <w:r>
        <w:t xml:space="preserve"> portfolio consequence, risk concentration, health indicators, investment requirement and management attention.</w:t>
      </w:r>
    </w:p>
    <w:p>
      <w:r>
        <w:rPr>
          <w:b/>
        </w:rPr>
        <w:t>Typical actions:</w:t>
      </w:r>
      <w:r>
        <w:t xml:space="preserve"> authorize portfolio-level decisions, review value delivery and include material exposures in executive reporting.</w:t>
      </w:r>
    </w:p>
    <w:p>
      <w:r>
        <w:rPr>
          <w:b/>
        </w:rPr>
        <w:t>Configured authority:</w:t>
      </w:r>
      <w:r>
        <w:t xml:space="preserve"> USD 5,000,000.</w:t>
      </w:r>
    </w:p>
    <w:p>
      <w:pPr>
        <w:pStyle w:val="Heading3"/>
      </w:pPr>
      <w:r>
        <w:t>4.6 OT / Controls — Raj Iyer</w:t>
      </w:r>
    </w:p>
    <w:p>
      <w:r>
        <w:rPr>
          <w:b/>
        </w:rPr>
        <w:t>Primary accountability:</w:t>
      </w:r>
      <w:r>
        <w:t xml:space="preserve"> signal integrity, sensor reliability, data coverage, asset mapping and post-repair baseline quality.</w:t>
      </w:r>
    </w:p>
    <w:p>
      <w:r>
        <w:rPr>
          <w:b/>
        </w:rPr>
        <w:t>Information priority:</w:t>
      </w:r>
      <w:r>
        <w:t xml:space="preserve"> validation result, data-quality score, signal availability, timing, dropouts and system consistency.</w:t>
      </w:r>
    </w:p>
    <w:p>
      <w:r>
        <w:rPr>
          <w:b/>
        </w:rPr>
        <w:t>Typical actions:</w:t>
      </w:r>
      <w:r>
        <w:t xml:space="preserve"> investigate signal issues, verify mapping and coverage, and establish the approved post-repair baseline.</w:t>
      </w:r>
    </w:p>
    <w:p>
      <w:pPr>
        <w:pStyle w:val="Heading3"/>
      </w:pPr>
      <w:r>
        <w:t>4.7 Safety Officer — Lisa Park</w:t>
      </w:r>
    </w:p>
    <w:p>
      <w:r>
        <w:rPr>
          <w:b/>
        </w:rPr>
        <w:t>Primary accountability:</w:t>
      </w:r>
      <w:r>
        <w:t xml:space="preserve"> isolation, permits, protective equipment, crew qualification and compliance.</w:t>
      </w:r>
    </w:p>
    <w:p>
      <w:r>
        <w:rPr>
          <w:b/>
        </w:rPr>
        <w:t>Information priority:</w:t>
      </w:r>
      <w:r>
        <w:t xml:space="preserve"> applicable safety zone, isolation reference, task stage, procedure and workforce qualification.</w:t>
      </w:r>
    </w:p>
    <w:p>
      <w:r>
        <w:rPr>
          <w:b/>
        </w:rPr>
        <w:t>Typical actions:</w:t>
      </w:r>
      <w:r>
        <w:t xml:space="preserve"> validate the permit, conduct the pre-task brief, confirm crew qualifications and record compliance.</w:t>
      </w:r>
    </w:p>
    <w:p>
      <w:pPr>
        <w:pStyle w:val="Heading2"/>
      </w:pPr>
      <w:r>
        <w:t>5. How one case is presented across roles</w:t>
      </w:r>
    </w:p>
    <w:p>
      <w:r>
        <w:t>Consider a confirmed high-severity bearing fault with a short operating window and an approved replacement procedure.</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Persona</w:t>
            </w:r>
          </w:p>
        </w:tc>
        <w:tc>
          <w:tcPr>
            <w:tcW w:type="dxa" w:w="5040"/>
            <w:vAlign w:val="center"/>
            <w:shd w:fill="D9EAF7"/>
          </w:tcPr>
          <w:p>
            <w:r>
              <w:rPr>
                <w:b/>
              </w:rPr>
            </w:r>
            <w:r>
              <w:rPr>
                <w:b/>
              </w:rPr>
              <w:t>Decision emphasis</w:t>
            </w:r>
          </w:p>
        </w:tc>
      </w:tr>
      <w:tr>
        <w:tc>
          <w:tcPr>
            <w:tcW w:type="dxa" w:w="5040"/>
            <w:vAlign w:val="center"/>
          </w:tcPr>
          <w:p>
            <w:r/>
            <w:r>
              <w:t>Supervisor</w:t>
            </w:r>
          </w:p>
        </w:tc>
        <w:tc>
          <w:tcPr>
            <w:tcW w:type="dxa" w:w="5040"/>
            <w:vAlign w:val="center"/>
          </w:tcPr>
          <w:p>
            <w:r/>
            <w:r>
              <w:t>Whether the asset can continue operating, for how long, and what must be communicated immediately</w:t>
            </w:r>
          </w:p>
        </w:tc>
      </w:tr>
      <w:tr>
        <w:tc>
          <w:tcPr>
            <w:tcW w:type="dxa" w:w="5040"/>
            <w:vAlign w:val="center"/>
          </w:tcPr>
          <w:p>
            <w:r/>
            <w:r>
              <w:t>Reliability Engineer</w:t>
            </w:r>
          </w:p>
        </w:tc>
        <w:tc>
          <w:tcPr>
            <w:tcW w:type="dxa" w:w="5040"/>
            <w:vAlign w:val="center"/>
          </w:tcPr>
          <w:p>
            <w:r/>
            <w:r>
              <w:t>Why the fault is credible, confidence level, alternatives and validation work</w:t>
            </w:r>
          </w:p>
        </w:tc>
      </w:tr>
      <w:tr>
        <w:tc>
          <w:tcPr>
            <w:tcW w:type="dxa" w:w="5040"/>
            <w:vAlign w:val="center"/>
          </w:tcPr>
          <w:p>
            <w:r/>
            <w:r>
              <w:t>Maintenance Planner</w:t>
            </w:r>
          </w:p>
        </w:tc>
        <w:tc>
          <w:tcPr>
            <w:tcW w:type="dxa" w:w="5040"/>
            <w:vAlign w:val="center"/>
          </w:tcPr>
          <w:p>
            <w:r/>
            <w:r>
              <w:t>Parts, people, duration, job sequence and available maintenance window</w:t>
            </w:r>
          </w:p>
        </w:tc>
      </w:tr>
      <w:tr>
        <w:tc>
          <w:tcPr>
            <w:tcW w:type="dxa" w:w="5040"/>
            <w:vAlign w:val="center"/>
          </w:tcPr>
          <w:p>
            <w:r/>
            <w:r>
              <w:t>Plant Manager</w:t>
            </w:r>
          </w:p>
        </w:tc>
        <w:tc>
          <w:tcPr>
            <w:tcW w:type="dxa" w:w="5040"/>
            <w:vAlign w:val="center"/>
          </w:tcPr>
          <w:p>
            <w:r/>
            <w:r>
              <w:t>Production impact, cost of action versus deferral and approval requirement</w:t>
            </w:r>
          </w:p>
        </w:tc>
      </w:tr>
      <w:tr>
        <w:tc>
          <w:tcPr>
            <w:tcW w:type="dxa" w:w="5040"/>
            <w:vAlign w:val="center"/>
          </w:tcPr>
          <w:p>
            <w:r/>
            <w:r>
              <w:t>VP Operations</w:t>
            </w:r>
          </w:p>
        </w:tc>
        <w:tc>
          <w:tcPr>
            <w:tcW w:type="dxa" w:w="5040"/>
            <w:vAlign w:val="center"/>
          </w:tcPr>
          <w:p>
            <w:r/>
            <w:r>
              <w:t>Material portfolio exposure and executive decision requirement</w:t>
            </w:r>
          </w:p>
        </w:tc>
      </w:tr>
      <w:tr>
        <w:tc>
          <w:tcPr>
            <w:tcW w:type="dxa" w:w="5040"/>
            <w:vAlign w:val="center"/>
          </w:tcPr>
          <w:p>
            <w:r/>
            <w:r>
              <w:t>OT / Controls</w:t>
            </w:r>
          </w:p>
        </w:tc>
        <w:tc>
          <w:tcPr>
            <w:tcW w:type="dxa" w:w="5040"/>
            <w:vAlign w:val="center"/>
          </w:tcPr>
          <w:p>
            <w:r/>
            <w:r>
              <w:t>Whether the evidence and baseline are reliable before and after intervention</w:t>
            </w:r>
          </w:p>
        </w:tc>
      </w:tr>
      <w:tr>
        <w:tc>
          <w:tcPr>
            <w:tcW w:type="dxa" w:w="5040"/>
            <w:vAlign w:val="center"/>
          </w:tcPr>
          <w:p>
            <w:r/>
            <w:r>
              <w:t>Safety Officer</w:t>
            </w:r>
          </w:p>
        </w:tc>
        <w:tc>
          <w:tcPr>
            <w:tcW w:type="dxa" w:w="5040"/>
            <w:vAlign w:val="center"/>
          </w:tcPr>
          <w:p>
            <w:r/>
            <w:r>
              <w:t>Isolation, permit, procedure and qualification requirements</w:t>
            </w:r>
          </w:p>
        </w:tc>
      </w:tr>
    </w:tbl>
    <w:p>
      <w:r>
        <w:t>Every role receives the same fault, RUL, risk and source evidence. The solution does not create different technical truths for different audiences.</w:t>
      </w:r>
    </w:p>
    <w:p>
      <w:pPr>
        <w:pStyle w:val="Heading2"/>
      </w:pPr>
      <w:r>
        <w:t>6. Human decision and approval governance</w:t>
      </w:r>
    </w:p>
    <w:p>
      <w:pPr>
        <w:pStyle w:val="Heading3"/>
      </w:pPr>
      <w:r>
        <w:t>6.1 Decision points</w:t>
      </w:r>
    </w:p>
    <w:p>
      <w:r>
        <w:t>Human review may be required when:</w:t>
      </w:r>
    </w:p>
    <w:p>
      <w:pPr>
        <w:pStyle w:val="ListBullet"/>
      </w:pPr>
      <w:r>
        <w:t>a signal requires controlled remediation;</w:t>
      </w:r>
    </w:p>
    <w:p>
      <w:pPr>
        <w:pStyle w:val="ListBullet"/>
      </w:pPr>
      <w:r>
        <w:t>an anomaly is borderline;</w:t>
      </w:r>
    </w:p>
    <w:p>
      <w:pPr>
        <w:pStyle w:val="ListBullet"/>
      </w:pPr>
      <w:r>
        <w:t>a diagnosis has insufficient confidence;</w:t>
      </w:r>
    </w:p>
    <w:p>
      <w:pPr>
        <w:pStyle w:val="ListBullet"/>
      </w:pPr>
      <w:r>
        <w:t>supplementary narrative advice is presented;</w:t>
      </w:r>
    </w:p>
    <w:p>
      <w:pPr>
        <w:pStyle w:val="ListBullet"/>
      </w:pPr>
      <w:r>
        <w:t>no directly applicable procedure is available; or</w:t>
      </w:r>
    </w:p>
    <w:p>
      <w:pPr>
        <w:pStyle w:val="ListBullet"/>
      </w:pPr>
      <w:r>
        <w:t>a maintenance action requires formal approval.</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Decision</w:t>
            </w:r>
          </w:p>
        </w:tc>
        <w:tc>
          <w:tcPr>
            <w:tcW w:type="dxa" w:w="3360"/>
            <w:vAlign w:val="center"/>
            <w:shd w:fill="D9EAF7"/>
          </w:tcPr>
          <w:p>
            <w:r>
              <w:rPr>
                <w:b/>
              </w:rPr>
            </w:r>
            <w:r>
              <w:rPr>
                <w:b/>
              </w:rPr>
              <w:t>Available response</w:t>
            </w:r>
          </w:p>
        </w:tc>
        <w:tc>
          <w:tcPr>
            <w:tcW w:type="dxa" w:w="3360"/>
            <w:vAlign w:val="center"/>
            <w:shd w:fill="D9EAF7"/>
          </w:tcPr>
          <w:p>
            <w:r>
              <w:rPr>
                <w:b/>
              </w:rPr>
            </w:r>
            <w:r>
              <w:rPr>
                <w:b/>
              </w:rPr>
              <w:t>Default decision owners</w:t>
            </w:r>
          </w:p>
        </w:tc>
      </w:tr>
      <w:tr>
        <w:tc>
          <w:tcPr>
            <w:tcW w:type="dxa" w:w="3360"/>
            <w:vAlign w:val="center"/>
          </w:tcPr>
          <w:p>
            <w:r/>
            <w:r>
              <w:t>Data remediation</w:t>
            </w:r>
          </w:p>
        </w:tc>
        <w:tc>
          <w:tcPr>
            <w:tcW w:type="dxa" w:w="3360"/>
            <w:vAlign w:val="center"/>
          </w:tcPr>
          <w:p>
            <w:r/>
            <w:r>
              <w:t>Impute an approved baseline value, retain for review or drop</w:t>
            </w:r>
          </w:p>
        </w:tc>
        <w:tc>
          <w:tcPr>
            <w:tcW w:type="dxa" w:w="3360"/>
            <w:vAlign w:val="center"/>
          </w:tcPr>
          <w:p>
            <w:r/>
            <w:r>
              <w:t>Supervisor, Reliability Engineer, OT / Controls</w:t>
            </w:r>
          </w:p>
        </w:tc>
      </w:tr>
      <w:tr>
        <w:tc>
          <w:tcPr>
            <w:tcW w:type="dxa" w:w="3360"/>
            <w:vAlign w:val="center"/>
          </w:tcPr>
          <w:p>
            <w:r/>
            <w:r>
              <w:t>Borderline condition</w:t>
            </w:r>
          </w:p>
        </w:tc>
        <w:tc>
          <w:tcPr>
            <w:tcW w:type="dxa" w:w="3360"/>
            <w:vAlign w:val="center"/>
          </w:tcPr>
          <w:p>
            <w:r/>
            <w:r>
              <w:t>Suppress as non-actionable or confirm for diagnosis</w:t>
            </w:r>
          </w:p>
        </w:tc>
        <w:tc>
          <w:tcPr>
            <w:tcW w:type="dxa" w:w="3360"/>
            <w:vAlign w:val="center"/>
          </w:tcPr>
          <w:p>
            <w:r/>
            <w:r>
              <w:t>Supervisor, Reliability Engineer</w:t>
            </w:r>
          </w:p>
        </w:tc>
      </w:tr>
      <w:tr>
        <w:tc>
          <w:tcPr>
            <w:tcW w:type="dxa" w:w="3360"/>
            <w:vAlign w:val="center"/>
          </w:tcPr>
          <w:p>
            <w:r/>
            <w:r>
              <w:t>Low-confidence diagnosis</w:t>
            </w:r>
          </w:p>
        </w:tc>
        <w:tc>
          <w:tcPr>
            <w:tcW w:type="dxa" w:w="3360"/>
            <w:vAlign w:val="center"/>
          </w:tcPr>
          <w:p>
            <w:r/>
            <w:r>
              <w:t>Confirm or mark as undetermined</w:t>
            </w:r>
          </w:p>
        </w:tc>
        <w:tc>
          <w:tcPr>
            <w:tcW w:type="dxa" w:w="3360"/>
            <w:vAlign w:val="center"/>
          </w:tcPr>
          <w:p>
            <w:r/>
            <w:r>
              <w:t>Reliability Engineer</w:t>
            </w:r>
          </w:p>
        </w:tc>
      </w:tr>
      <w:tr>
        <w:tc>
          <w:tcPr>
            <w:tcW w:type="dxa" w:w="3360"/>
            <w:vAlign w:val="center"/>
          </w:tcPr>
          <w:p>
            <w:r/>
            <w:r>
              <w:t>Supplementary advice</w:t>
            </w:r>
          </w:p>
        </w:tc>
        <w:tc>
          <w:tcPr>
            <w:tcW w:type="dxa" w:w="3360"/>
            <w:vAlign w:val="center"/>
          </w:tcPr>
          <w:p>
            <w:r/>
            <w:r>
              <w:t>Accept, reject or revise the narrative</w:t>
            </w:r>
          </w:p>
        </w:tc>
        <w:tc>
          <w:tcPr>
            <w:tcW w:type="dxa" w:w="3360"/>
            <w:vAlign w:val="center"/>
          </w:tcPr>
          <w:p>
            <w:r/>
            <w:r>
              <w:t>Supervisor, Reliability Engineer</w:t>
            </w:r>
          </w:p>
        </w:tc>
      </w:tr>
      <w:tr>
        <w:tc>
          <w:tcPr>
            <w:tcW w:type="dxa" w:w="3360"/>
            <w:vAlign w:val="center"/>
          </w:tcPr>
          <w:p>
            <w:r/>
            <w:r>
              <w:t>Procedure unavailable</w:t>
            </w:r>
          </w:p>
        </w:tc>
        <w:tc>
          <w:tcPr>
            <w:tcW w:type="dxa" w:w="3360"/>
            <w:vAlign w:val="center"/>
          </w:tcPr>
          <w:p>
            <w:r/>
            <w:r>
              <w:t>Require manual procedure review or continue without retrieved guidance</w:t>
            </w:r>
          </w:p>
        </w:tc>
        <w:tc>
          <w:tcPr>
            <w:tcW w:type="dxa" w:w="3360"/>
            <w:vAlign w:val="center"/>
          </w:tcPr>
          <w:p>
            <w:r/>
            <w:r>
              <w:t>Reliability Engineer, Maintenance Planner, Safety Officer</w:t>
            </w:r>
          </w:p>
        </w:tc>
      </w:tr>
      <w:tr>
        <w:tc>
          <w:tcPr>
            <w:tcW w:type="dxa" w:w="3360"/>
            <w:vAlign w:val="center"/>
          </w:tcPr>
          <w:p>
            <w:r/>
            <w:r>
              <w:t>Maintenance execution</w:t>
            </w:r>
          </w:p>
        </w:tc>
        <w:tc>
          <w:tcPr>
            <w:tcW w:type="dxa" w:w="3360"/>
            <w:vAlign w:val="center"/>
          </w:tcPr>
          <w:p>
            <w:r/>
            <w:r>
              <w:t>Approve or reject the proposed action</w:t>
            </w:r>
          </w:p>
        </w:tc>
        <w:tc>
          <w:tcPr>
            <w:tcW w:type="dxa" w:w="3360"/>
            <w:vAlign w:val="center"/>
          </w:tcPr>
          <w:p>
            <w:r/>
            <w:r>
              <w:t>Supervisor, Maintenance Planner, Plant Manager</w:t>
            </w:r>
          </w:p>
        </w:tc>
      </w:tr>
    </w:tbl>
    <w:p>
      <w:r>
        <w:t>Decision evidence may remain visible to other roles for awareness. Approval and rejection controls are available only to the configured decision owners.</w:t>
      </w:r>
    </w:p>
    <w:p>
      <w:pPr>
        <w:pStyle w:val="Heading3"/>
      </w:pPr>
      <w:r>
        <w:t>6.2 Escalation policy</w:t>
      </w:r>
    </w:p>
    <w:p>
      <w:r>
        <w:t>The standard approval sequence is:</w:t>
      </w:r>
    </w:p>
    <w:p>
      <w:pPr>
        <w:shd w:fill="F3F4F6"/>
      </w:pPr>
      <w:r>
        <w:rPr>
          <w:rFonts w:ascii="Consolas" w:hAnsi="Consolas"/>
          <w:sz w:val="17"/>
        </w:rPr>
        <w:t>Plant Supervisor → Plant Manager → VP Operations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Urgency</w:t>
            </w:r>
          </w:p>
        </w:tc>
        <w:tc>
          <w:tcPr>
            <w:tcW w:type="dxa" w:w="5040"/>
            <w:vAlign w:val="center"/>
            <w:shd w:fill="D9EAF7"/>
          </w:tcPr>
          <w:p>
            <w:r>
              <w:rPr>
                <w:b/>
              </w:rPr>
            </w:r>
            <w:r>
              <w:rPr>
                <w:b/>
              </w:rPr>
              <w:t>Default decision period before escalation</w:t>
            </w:r>
          </w:p>
        </w:tc>
      </w:tr>
      <w:tr>
        <w:tc>
          <w:tcPr>
            <w:tcW w:type="dxa" w:w="5040"/>
            <w:vAlign w:val="center"/>
          </w:tcPr>
          <w:p>
            <w:r/>
            <w:r>
              <w:t>Immediate</w:t>
            </w:r>
          </w:p>
        </w:tc>
        <w:tc>
          <w:tcPr>
            <w:tcW w:type="dxa" w:w="5040"/>
            <w:vAlign w:val="center"/>
          </w:tcPr>
          <w:p>
            <w:r/>
            <w:r>
              <w:t>15 minutes</w:t>
            </w:r>
          </w:p>
        </w:tc>
      </w:tr>
      <w:tr>
        <w:tc>
          <w:tcPr>
            <w:tcW w:type="dxa" w:w="5040"/>
            <w:vAlign w:val="center"/>
          </w:tcPr>
          <w:p>
            <w:r/>
            <w:r>
              <w:t>Urgent</w:t>
            </w:r>
          </w:p>
        </w:tc>
        <w:tc>
          <w:tcPr>
            <w:tcW w:type="dxa" w:w="5040"/>
            <w:vAlign w:val="center"/>
          </w:tcPr>
          <w:p>
            <w:r/>
            <w:r>
              <w:t>1 hour</w:t>
            </w:r>
          </w:p>
        </w:tc>
      </w:tr>
      <w:tr>
        <w:tc>
          <w:tcPr>
            <w:tcW w:type="dxa" w:w="5040"/>
            <w:vAlign w:val="center"/>
          </w:tcPr>
          <w:p>
            <w:r/>
            <w:r>
              <w:t>Planned</w:t>
            </w:r>
          </w:p>
        </w:tc>
        <w:tc>
          <w:tcPr>
            <w:tcW w:type="dxa" w:w="5040"/>
            <w:vAlign w:val="center"/>
          </w:tcPr>
          <w:p>
            <w:r/>
            <w:r>
              <w:t>4 hours</w:t>
            </w:r>
          </w:p>
        </w:tc>
      </w:tr>
      <w:tr>
        <w:tc>
          <w:tcPr>
            <w:tcW w:type="dxa" w:w="5040"/>
            <w:vAlign w:val="center"/>
          </w:tcPr>
          <w:p>
            <w:r/>
            <w:r>
              <w:t>Monitor</w:t>
            </w:r>
          </w:p>
        </w:tc>
        <w:tc>
          <w:tcPr>
            <w:tcW w:type="dxa" w:w="5040"/>
            <w:vAlign w:val="center"/>
          </w:tcPr>
          <w:p>
            <w:r/>
            <w:r>
              <w:t>24 hours</w:t>
            </w:r>
          </w:p>
        </w:tc>
      </w:tr>
    </w:tbl>
    <w:p>
      <w:r>
        <w:t>Each decision card identifies the current owner, the next escalation owner and the applicable time. Approval ownership and escalation ownership are configurable policies and should be reviewed together whenever authority levels change.</w:t>
      </w:r>
    </w:p>
    <w:p>
      <w:pPr>
        <w:pStyle w:val="Heading3"/>
      </w:pPr>
      <w:r>
        <w:t>6.3 Rejection feedback</w:t>
      </w:r>
    </w:p>
    <w:p>
      <w:r>
        <w:t>Five standard rejection reasons are available:</w:t>
      </w:r>
    </w:p>
    <w:p>
      <w:pPr>
        <w:pStyle w:val="ListNumber"/>
      </w:pPr>
      <w:r>
        <w:t>Diagnosis requires correction.</w:t>
      </w:r>
    </w:p>
    <w:p>
      <w:pPr>
        <w:pStyle w:val="ListNumber"/>
      </w:pPr>
      <w:r>
        <w:t>Parts or material concern.</w:t>
      </w:r>
    </w:p>
    <w:p>
      <w:pPr>
        <w:pStyle w:val="ListNumber"/>
      </w:pPr>
      <w:r>
        <w:t>Second technical opinion required.</w:t>
      </w:r>
    </w:p>
    <w:p>
      <w:pPr>
        <w:pStyle w:val="ListNumber"/>
      </w:pPr>
      <w:r>
        <w:t>Proposed maintenance window is unsuitable.</w:t>
      </w:r>
    </w:p>
    <w:p>
      <w:pPr>
        <w:pStyle w:val="ListNumber"/>
      </w:pPr>
      <w:r>
        <w:t>Other, supported by free-text explanation.</w:t>
      </w:r>
    </w:p>
    <w:p>
      <w:r>
        <w:t>Two consecutive rejections for the same asset and fault within 30 days prompt Reliability Engineering review. Rejection information supports governance and learning; it does not by itself change the confirmed technical record.</w:t>
      </w:r>
    </w:p>
    <w:p>
      <w:pPr>
        <w:pStyle w:val="Heading2"/>
      </w:pPr>
      <w:r>
        <w:t>7. Representative business scenarios</w:t>
      </w:r>
    </w:p>
    <w:p>
      <w:pPr>
        <w:pStyle w:val="Heading3"/>
      </w:pPr>
      <w:r>
        <w:t>7.1 Healthy equipment</w:t>
      </w:r>
    </w:p>
    <w:p>
      <w:r>
        <w:rPr>
          <w:b/>
        </w:rPr>
        <w:t>Request:</w:t>
      </w:r>
      <w:r>
        <w:t xml:space="preserve"> “Is M-122 operating normally?”</w:t>
      </w:r>
    </w:p>
    <w:p>
      <w:r>
        <w:rPr>
          <w:b/>
        </w:rPr>
        <w:t>Expected response:</w:t>
      </w:r>
      <w:r>
        <w:t xml:space="preserve"> confirm that the evidence is valid and that no actionable condition has been detected. The workflow ends without creating a fault, maintenance recommendation or work order.</w:t>
      </w:r>
    </w:p>
    <w:p>
      <w:pPr>
        <w:pStyle w:val="Heading3"/>
      </w:pPr>
      <w:r>
        <w:t>7.2 Supported bearing deterioration</w:t>
      </w:r>
    </w:p>
    <w:p>
      <w:r>
        <w:rPr>
          <w:b/>
        </w:rPr>
        <w:t>Request:</w:t>
      </w:r>
      <w:r>
        <w:t xml:space="preserve"> “Provide the recommended action for M-121.”</w:t>
      </w:r>
    </w:p>
    <w:p>
      <w:r>
        <w:rPr>
          <w:b/>
        </w:rPr>
        <w:t>Expected response:</w:t>
      </w:r>
      <w:r>
        <w:t xml:space="preserve"> present the fault, stage, confidence, RUL, consequence, applicable procedure, recommended action, responsible owner and approval need. No work is initiated until the required authority is recorded.</w:t>
      </w:r>
    </w:p>
    <w:p>
      <w:pPr>
        <w:pStyle w:val="Heading3"/>
      </w:pPr>
      <w:r>
        <w:t>7.3 Incomplete or poor-quality information</w:t>
      </w:r>
    </w:p>
    <w:p>
      <w:r>
        <w:rPr>
          <w:b/>
        </w:rPr>
        <w:t>Request:</w:t>
      </w:r>
      <w:r>
        <w:t xml:space="preserve"> “Analyse C-317.”</w:t>
      </w:r>
    </w:p>
    <w:p>
      <w:r>
        <w:rPr>
          <w:b/>
        </w:rPr>
        <w:t>Expected response:</w:t>
      </w:r>
      <w:r>
        <w:t xml:space="preserve"> identify the missing or unreliable evidence and request the appropriate data decision. No downstream fault or RUL is inferred from the incomplete record.</w:t>
      </w:r>
    </w:p>
    <w:p>
      <w:pPr>
        <w:pStyle w:val="Heading3"/>
      </w:pPr>
      <w:r>
        <w:t>7.4 Unknown asset</w:t>
      </w:r>
    </w:p>
    <w:p>
      <w:r>
        <w:rPr>
          <w:b/>
        </w:rPr>
        <w:t>Request:</w:t>
      </w:r>
      <w:r>
        <w:t xml:space="preserve"> “What is the RUL of X-999?”</w:t>
      </w:r>
    </w:p>
    <w:p>
      <w:r>
        <w:rPr>
          <w:b/>
        </w:rPr>
        <w:t>Expected response:</w:t>
      </w:r>
      <w:r>
        <w:t xml:space="preserve"> state that the asset is not registered and request the required asset and condition information. The solution does not substitute a different asset or create an estimate.</w:t>
      </w:r>
    </w:p>
    <w:p>
      <w:pPr>
        <w:pStyle w:val="Heading3"/>
      </w:pPr>
      <w:r>
        <w:t>7.5 General business concept</w:t>
      </w:r>
    </w:p>
    <w:p>
      <w:r>
        <w:rPr>
          <w:b/>
        </w:rPr>
        <w:t>Request:</w:t>
      </w:r>
      <w:r>
        <w:t xml:space="preserve"> “What is RUL?”</w:t>
      </w:r>
    </w:p>
    <w:p>
      <w:r>
        <w:rPr>
          <w:b/>
        </w:rPr>
        <w:t>Expected response:</w:t>
      </w:r>
      <w:r>
        <w:t xml:space="preserve"> provide a concise, approved definition without requiring an asset because the question is conceptual rather than asset-specific.</w:t>
      </w:r>
    </w:p>
    <w:p>
      <w:pPr>
        <w:pStyle w:val="Heading3"/>
      </w:pPr>
      <w:r>
        <w:t>7.6 Asset question requiring clarification</w:t>
      </w:r>
    </w:p>
    <w:p>
      <w:r>
        <w:rPr>
          <w:b/>
        </w:rPr>
        <w:t>Request:</w:t>
      </w:r>
      <w:r>
        <w:t xml:space="preserve"> “What is the RUL of this bearing?”</w:t>
      </w:r>
    </w:p>
    <w:p>
      <w:r>
        <w:rPr>
          <w:b/>
        </w:rPr>
        <w:t>Expected response:</w:t>
      </w:r>
      <w:r>
        <w:t xml:space="preserve"> request asset identity and current validated evidence before answering. Information supplied in the follow-up is linked to the same conversation.</w:t>
      </w:r>
    </w:p>
    <w:p>
      <w:pPr>
        <w:pStyle w:val="Heading3"/>
      </w:pPr>
      <w:r>
        <w:t>7.7 Multi-asset weekly plan</w:t>
      </w:r>
    </w:p>
    <w:p>
      <w:r>
        <w:rPr>
          <w:b/>
        </w:rPr>
        <w:t>Request:</w:t>
      </w:r>
      <w:r>
        <w:t xml:space="preserve"> “Provide this week’s action plan for M-121, P-220 and C-315.”</w:t>
      </w:r>
    </w:p>
    <w:p>
      <w:r>
        <w:rPr>
          <w:b/>
        </w:rPr>
        <w:t>Expected response:</w:t>
      </w:r>
      <w:r>
        <w:t xml:space="preserve"> show an independently supported result, action, owner and deadline for every asset. If evidence is missing for one asset, identify that exception without suppressing the supported results for the others.</w:t>
      </w:r>
    </w:p>
    <w:p>
      <w:pPr>
        <w:pStyle w:val="Heading3"/>
      </w:pPr>
      <w:r>
        <w:t>7.8 Fleet prioritization</w:t>
      </w:r>
    </w:p>
    <w:p>
      <w:r>
        <w:rPr>
          <w:b/>
        </w:rPr>
        <w:t>Request:</w:t>
      </w:r>
      <w:r>
        <w:t xml:space="preserve"> “Which bearing has the highest risk?”</w:t>
      </w:r>
    </w:p>
    <w:p>
      <w:r>
        <w:rPr>
          <w:b/>
        </w:rPr>
        <w:t>Expected response:</w:t>
      </w:r>
      <w:r>
        <w:t xml:space="preserve"> use only the approved fleet scope and available evidence. If a complete fleet view is unavailable, request it rather than ranking partial information.</w:t>
      </w:r>
    </w:p>
    <w:p>
      <w:pPr>
        <w:pStyle w:val="Heading3"/>
      </w:pPr>
      <w:r>
        <w:t>7.9 Lessons from recent failures</w:t>
      </w:r>
    </w:p>
    <w:p>
      <w:r>
        <w:rPr>
          <w:b/>
        </w:rPr>
        <w:t>Request:</w:t>
      </w:r>
      <w:r>
        <w:t xml:space="preserve"> “What were the last three failures and what did we learn?”</w:t>
      </w:r>
    </w:p>
    <w:p>
      <w:r>
        <w:rPr>
          <w:b/>
        </w:rPr>
        <w:t>Expected response:</w:t>
      </w:r>
      <w:r>
        <w:t xml:space="preserve"> present only validated closed cases and identify the supporting source. If no confirmed cases are available, state this clearly.</w:t>
      </w:r>
    </w:p>
    <w:p>
      <w:pPr>
        <w:pStyle w:val="Heading2"/>
      </w:pPr>
      <w:r>
        <w:t>8. Current operating parameters</w:t>
      </w:r>
    </w:p>
    <w:p>
      <w:r>
        <w:t>The following values are the current configurable defaults. They are managed through controlled policy rather than embedded in individual responses.</w:t>
      </w:r>
    </w:p>
    <w:p>
      <w:pPr>
        <w:pStyle w:val="Heading3"/>
      </w:pPr>
      <w:r>
        <w:t>8.1 Information quality</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Parameter</w:t>
            </w:r>
          </w:p>
        </w:tc>
        <w:tc>
          <w:tcPr>
            <w:tcW w:type="dxa" w:w="3360"/>
            <w:vAlign w:val="center"/>
            <w:shd w:fill="D9EAF7"/>
          </w:tcPr>
          <w:p>
            <w:r>
              <w:rPr>
                <w:b/>
              </w:rPr>
            </w:r>
            <w:r>
              <w:rPr>
                <w:b/>
              </w:rPr>
              <w:t>Current default</w:t>
            </w:r>
          </w:p>
        </w:tc>
        <w:tc>
          <w:tcPr>
            <w:tcW w:type="dxa" w:w="3360"/>
            <w:vAlign w:val="center"/>
            <w:shd w:fill="D9EAF7"/>
          </w:tcPr>
          <w:p>
            <w:r>
              <w:rPr>
                <w:b/>
              </w:rPr>
            </w:r>
            <w:r>
              <w:rPr>
                <w:b/>
              </w:rPr>
              <w:t>Purpose</w:t>
            </w:r>
          </w:p>
        </w:tc>
      </w:tr>
      <w:tr>
        <w:tc>
          <w:tcPr>
            <w:tcW w:type="dxa" w:w="3360"/>
            <w:vAlign w:val="center"/>
          </w:tcPr>
          <w:p>
            <w:r/>
            <w:r>
              <w:t>Minimum signal-quality score</w:t>
            </w:r>
          </w:p>
        </w:tc>
        <w:tc>
          <w:tcPr>
            <w:tcW w:type="dxa" w:w="3360"/>
            <w:vAlign w:val="center"/>
          </w:tcPr>
          <w:p>
            <w:r/>
            <w:r>
              <w:t>0.50</w:t>
            </w:r>
          </w:p>
        </w:tc>
        <w:tc>
          <w:tcPr>
            <w:tcW w:type="dxa" w:w="3360"/>
            <w:vAlign w:val="center"/>
          </w:tcPr>
          <w:p>
            <w:r/>
            <w:r>
              <w:t>Route lower-quality events for review</w:t>
            </w:r>
          </w:p>
        </w:tc>
      </w:tr>
      <w:tr>
        <w:tc>
          <w:tcPr>
            <w:tcW w:type="dxa" w:w="3360"/>
            <w:vAlign w:val="center"/>
          </w:tcPr>
          <w:p>
            <w:r/>
            <w:r>
              <w:t>Overall quality threshold</w:t>
            </w:r>
          </w:p>
        </w:tc>
        <w:tc>
          <w:tcPr>
            <w:tcW w:type="dxa" w:w="3360"/>
            <w:vAlign w:val="center"/>
          </w:tcPr>
          <w:p>
            <w:r/>
            <w:r>
              <w:t>0.80</w:t>
            </w:r>
          </w:p>
        </w:tc>
        <w:tc>
          <w:tcPr>
            <w:tcW w:type="dxa" w:w="3360"/>
            <w:vAlign w:val="center"/>
          </w:tcPr>
          <w:p>
            <w:r/>
            <w:r>
              <w:t>Determine whether the event can proceed</w:t>
            </w:r>
          </w:p>
        </w:tc>
      </w:tr>
      <w:tr>
        <w:tc>
          <w:tcPr>
            <w:tcW w:type="dxa" w:w="3360"/>
            <w:vAlign w:val="center"/>
          </w:tcPr>
          <w:p>
            <w:r/>
            <w:r>
              <w:t>Maximum age for live information</w:t>
            </w:r>
          </w:p>
        </w:tc>
        <w:tc>
          <w:tcPr>
            <w:tcW w:type="dxa" w:w="3360"/>
            <w:vAlign w:val="center"/>
          </w:tcPr>
          <w:p>
            <w:r/>
            <w:r>
              <w:t>5 minutes</w:t>
            </w:r>
          </w:p>
        </w:tc>
        <w:tc>
          <w:tcPr>
            <w:tcW w:type="dxa" w:w="3360"/>
            <w:vAlign w:val="center"/>
          </w:tcPr>
          <w:p>
            <w:r/>
            <w:r>
              <w:t>Prevent decisions on stale live readings</w:t>
            </w:r>
          </w:p>
        </w:tc>
      </w:tr>
      <w:tr>
        <w:tc>
          <w:tcPr>
            <w:tcW w:type="dxa" w:w="3360"/>
            <w:vAlign w:val="center"/>
          </w:tcPr>
          <w:p>
            <w:r/>
            <w:r>
              <w:t>Future timestamp tolerance</w:t>
            </w:r>
          </w:p>
        </w:tc>
        <w:tc>
          <w:tcPr>
            <w:tcW w:type="dxa" w:w="3360"/>
            <w:vAlign w:val="center"/>
          </w:tcPr>
          <w:p>
            <w:r/>
            <w:r>
              <w:t>30 seconds</w:t>
            </w:r>
          </w:p>
        </w:tc>
        <w:tc>
          <w:tcPr>
            <w:tcW w:type="dxa" w:w="3360"/>
            <w:vAlign w:val="center"/>
          </w:tcPr>
          <w:p>
            <w:r/>
            <w:r>
              <w:t>Allow limited clock difference</w:t>
            </w:r>
          </w:p>
        </w:tc>
      </w:tr>
      <w:tr>
        <w:tc>
          <w:tcPr>
            <w:tcW w:type="dxa" w:w="3360"/>
            <w:vAlign w:val="center"/>
          </w:tcPr>
          <w:p>
            <w:r/>
            <w:r>
              <w:t>Maximum speed</w:t>
            </w:r>
          </w:p>
        </w:tc>
        <w:tc>
          <w:tcPr>
            <w:tcW w:type="dxa" w:w="3360"/>
            <w:vAlign w:val="center"/>
          </w:tcPr>
          <w:p>
            <w:r/>
            <w:r>
              <w:t>20,000 RPM</w:t>
            </w:r>
          </w:p>
        </w:tc>
        <w:tc>
          <w:tcPr>
            <w:tcW w:type="dxa" w:w="3360"/>
            <w:vAlign w:val="center"/>
          </w:tcPr>
          <w:p>
            <w:r/>
            <w:r>
              <w:t>Reject physically implausible input</w:t>
            </w:r>
          </w:p>
        </w:tc>
      </w:tr>
      <w:tr>
        <w:tc>
          <w:tcPr>
            <w:tcW w:type="dxa" w:w="3360"/>
            <w:vAlign w:val="center"/>
          </w:tcPr>
          <w:p>
            <w:r/>
            <w:r>
              <w:t>Maximum load</w:t>
            </w:r>
          </w:p>
        </w:tc>
        <w:tc>
          <w:tcPr>
            <w:tcW w:type="dxa" w:w="3360"/>
            <w:vAlign w:val="center"/>
          </w:tcPr>
          <w:p>
            <w:r/>
            <w:r>
              <w:t>110%</w:t>
            </w:r>
          </w:p>
        </w:tc>
        <w:tc>
          <w:tcPr>
            <w:tcW w:type="dxa" w:w="3360"/>
            <w:vAlign w:val="center"/>
          </w:tcPr>
          <w:p>
            <w:r/>
            <w:r>
              <w:t>Allow controlled overload while rejecting implausible values</w:t>
            </w:r>
          </w:p>
        </w:tc>
      </w:tr>
      <w:tr>
        <w:tc>
          <w:tcPr>
            <w:tcW w:type="dxa" w:w="3360"/>
            <w:vAlign w:val="center"/>
          </w:tcPr>
          <w:p>
            <w:r/>
            <w:r>
              <w:t>Minimum speed for a running state</w:t>
            </w:r>
          </w:p>
        </w:tc>
        <w:tc>
          <w:tcPr>
            <w:tcW w:type="dxa" w:w="3360"/>
            <w:vAlign w:val="center"/>
          </w:tcPr>
          <w:p>
            <w:r/>
            <w:r>
              <w:t>50 RPM</w:t>
            </w:r>
          </w:p>
        </w:tc>
        <w:tc>
          <w:tcPr>
            <w:tcW w:type="dxa" w:w="3360"/>
            <w:vAlign w:val="center"/>
          </w:tcPr>
          <w:p>
            <w:r/>
            <w:r>
              <w:t>Detect inconsistent operating state</w:t>
            </w:r>
          </w:p>
        </w:tc>
      </w:tr>
    </w:tbl>
    <w:p>
      <w:pPr>
        <w:pStyle w:val="Heading3"/>
      </w:pPr>
      <w:r>
        <w:t>8.2 Condition monitoring</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Parameter</w:t>
            </w:r>
          </w:p>
        </w:tc>
        <w:tc>
          <w:tcPr>
            <w:tcW w:type="dxa" w:w="3360"/>
            <w:vAlign w:val="center"/>
            <w:shd w:fill="D9EAF7"/>
          </w:tcPr>
          <w:p>
            <w:r>
              <w:rPr>
                <w:b/>
              </w:rPr>
            </w:r>
            <w:r>
              <w:rPr>
                <w:b/>
              </w:rPr>
              <w:t>Current default</w:t>
            </w:r>
          </w:p>
        </w:tc>
        <w:tc>
          <w:tcPr>
            <w:tcW w:type="dxa" w:w="3360"/>
            <w:vAlign w:val="center"/>
            <w:shd w:fill="D9EAF7"/>
          </w:tcPr>
          <w:p>
            <w:r>
              <w:rPr>
                <w:b/>
              </w:rPr>
            </w:r>
            <w:r>
              <w:rPr>
                <w:b/>
              </w:rPr>
              <w:t>Purpose</w:t>
            </w:r>
          </w:p>
        </w:tc>
      </w:tr>
      <w:tr>
        <w:tc>
          <w:tcPr>
            <w:tcW w:type="dxa" w:w="3360"/>
            <w:vAlign w:val="center"/>
          </w:tcPr>
          <w:p>
            <w:r/>
            <w:r>
              <w:t>Multivariable anomaly threshold</w:t>
            </w:r>
          </w:p>
        </w:tc>
        <w:tc>
          <w:tcPr>
            <w:tcW w:type="dxa" w:w="3360"/>
            <w:vAlign w:val="center"/>
          </w:tcPr>
          <w:p>
            <w:r/>
            <w:r>
              <w:t>0.85</w:t>
            </w:r>
          </w:p>
        </w:tc>
        <w:tc>
          <w:tcPr>
            <w:tcW w:type="dxa" w:w="3360"/>
            <w:vAlign w:val="center"/>
          </w:tcPr>
          <w:p>
            <w:r/>
            <w:r>
              <w:t>Identify a qualifying condition event</w:t>
            </w:r>
          </w:p>
        </w:tc>
      </w:tr>
      <w:tr>
        <w:tc>
          <w:tcPr>
            <w:tcW w:type="dxa" w:w="3360"/>
            <w:vAlign w:val="center"/>
          </w:tcPr>
          <w:p>
            <w:r/>
            <w:r>
              <w:t>Minimum usable signals</w:t>
            </w:r>
          </w:p>
        </w:tc>
        <w:tc>
          <w:tcPr>
            <w:tcW w:type="dxa" w:w="3360"/>
            <w:vAlign w:val="center"/>
          </w:tcPr>
          <w:p>
            <w:r/>
            <w:r>
              <w:t>2</w:t>
            </w:r>
          </w:p>
        </w:tc>
        <w:tc>
          <w:tcPr>
            <w:tcW w:type="dxa" w:w="3360"/>
            <w:vAlign w:val="center"/>
          </w:tcPr>
          <w:p>
            <w:r/>
            <w:r>
              <w:t>Avoid assessment from insufficient coverage</w:t>
            </w:r>
          </w:p>
        </w:tc>
      </w:tr>
      <w:tr>
        <w:tc>
          <w:tcPr>
            <w:tcW w:type="dxa" w:w="3360"/>
            <w:vAlign w:val="center"/>
          </w:tcPr>
          <w:p>
            <w:r/>
            <w:r>
              <w:t>Evidence threshold</w:t>
            </w:r>
          </w:p>
        </w:tc>
        <w:tc>
          <w:tcPr>
            <w:tcW w:type="dxa" w:w="3360"/>
            <w:vAlign w:val="center"/>
          </w:tcPr>
          <w:p>
            <w:r/>
            <w:r>
              <w:t>3.0 standard deviations</w:t>
            </w:r>
          </w:p>
        </w:tc>
        <w:tc>
          <w:tcPr>
            <w:tcW w:type="dxa" w:w="3360"/>
            <w:vAlign w:val="center"/>
          </w:tcPr>
          <w:p>
            <w:r/>
            <w:r>
              <w:t>Identify material contributing signals</w:t>
            </w:r>
          </w:p>
        </w:tc>
      </w:tr>
      <w:tr>
        <w:tc>
          <w:tcPr>
            <w:tcW w:type="dxa" w:w="3360"/>
            <w:vAlign w:val="center"/>
          </w:tcPr>
          <w:p>
            <w:r/>
            <w:r>
              <w:t>Gradual-deterioration monitoring</w:t>
            </w:r>
          </w:p>
        </w:tc>
        <w:tc>
          <w:tcPr>
            <w:tcW w:type="dxa" w:w="3360"/>
            <w:vAlign w:val="center"/>
          </w:tcPr>
          <w:p>
            <w:r/>
            <w:r>
              <w:t>Enabled</w:t>
            </w:r>
          </w:p>
        </w:tc>
        <w:tc>
          <w:tcPr>
            <w:tcW w:type="dxa" w:w="3360"/>
            <w:vAlign w:val="center"/>
          </w:tcPr>
          <w:p>
            <w:r/>
            <w:r>
              <w:t>Detect developing trends</w:t>
            </w:r>
          </w:p>
        </w:tc>
      </w:tr>
      <w:tr>
        <w:tc>
          <w:tcPr>
            <w:tcW w:type="dxa" w:w="3360"/>
            <w:vAlign w:val="center"/>
          </w:tcPr>
          <w:p>
            <w:r/>
            <w:r>
              <w:t>Consecutive qualifying events</w:t>
            </w:r>
          </w:p>
        </w:tc>
        <w:tc>
          <w:tcPr>
            <w:tcW w:type="dxa" w:w="3360"/>
            <w:vAlign w:val="center"/>
          </w:tcPr>
          <w:p>
            <w:r/>
            <w:r>
              <w:t>1</w:t>
            </w:r>
          </w:p>
        </w:tc>
        <w:tc>
          <w:tcPr>
            <w:tcW w:type="dxa" w:w="3360"/>
            <w:vAlign w:val="center"/>
          </w:tcPr>
          <w:p>
            <w:r/>
            <w:r>
              <w:t>Permit response to the first credible event</w:t>
            </w:r>
          </w:p>
        </w:tc>
      </w:tr>
      <w:tr>
        <w:tc>
          <w:tcPr>
            <w:tcW w:type="dxa" w:w="3360"/>
            <w:vAlign w:val="center"/>
          </w:tcPr>
          <w:p>
            <w:r/>
            <w:r>
              <w:t>Repeated-alert cooldown</w:t>
            </w:r>
          </w:p>
        </w:tc>
        <w:tc>
          <w:tcPr>
            <w:tcW w:type="dxa" w:w="3360"/>
            <w:vAlign w:val="center"/>
          </w:tcPr>
          <w:p>
            <w:r/>
            <w:r>
              <w:t>0 seconds</w:t>
            </w:r>
          </w:p>
        </w:tc>
        <w:tc>
          <w:tcPr>
            <w:tcW w:type="dxa" w:w="3360"/>
            <w:vAlign w:val="center"/>
          </w:tcPr>
          <w:p>
            <w:r/>
            <w:r>
              <w:t>Do not suppress a qualifying repeat by default</w:t>
            </w:r>
          </w:p>
        </w:tc>
      </w:tr>
      <w:tr>
        <w:tc>
          <w:tcPr>
            <w:tcW w:type="dxa" w:w="3360"/>
            <w:vAlign w:val="center"/>
          </w:tcPr>
          <w:p>
            <w:r/>
            <w:r>
              <w:t>Low/high load boundaries</w:t>
            </w:r>
          </w:p>
        </w:tc>
        <w:tc>
          <w:tcPr>
            <w:tcW w:type="dxa" w:w="3360"/>
            <w:vAlign w:val="center"/>
          </w:tcPr>
          <w:p>
            <w:r/>
            <w:r>
              <w:t>40% / 85%</w:t>
            </w:r>
          </w:p>
        </w:tc>
        <w:tc>
          <w:tcPr>
            <w:tcW w:type="dxa" w:w="3360"/>
            <w:vAlign w:val="center"/>
          </w:tcPr>
          <w:p>
            <w:r/>
            <w:r>
              <w:t>Describe operating regime</w:t>
            </w:r>
          </w:p>
        </w:tc>
      </w:tr>
    </w:tbl>
    <w:p>
      <w:pPr>
        <w:pStyle w:val="Heading3"/>
      </w:pPr>
      <w:r>
        <w:t>8.3 Remaining useful life policy</w:t>
      </w:r>
    </w:p>
    <w:p>
      <w:r>
        <w:t>Current RUL values are governed planning estimates and should be interpreted with condition evidence, confidence and operating context.</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Pr>
                <w:b/>
              </w:rPr>
            </w:r>
            <w:r>
              <w:rPr>
                <w:b/>
              </w:rPr>
              <w:t>Fault family</w:t>
            </w:r>
          </w:p>
        </w:tc>
        <w:tc>
          <w:tcPr>
            <w:tcW w:type="dxa" w:w="2520"/>
            <w:vAlign w:val="center"/>
            <w:shd w:fill="D9EAF7"/>
          </w:tcPr>
          <w:p>
            <w:r>
              <w:rPr>
                <w:b/>
              </w:rPr>
            </w:r>
            <w:r>
              <w:rPr>
                <w:b/>
              </w:rPr>
              <w:t>Stage 1</w:t>
            </w:r>
          </w:p>
        </w:tc>
        <w:tc>
          <w:tcPr>
            <w:tcW w:type="dxa" w:w="2520"/>
            <w:vAlign w:val="center"/>
            <w:shd w:fill="D9EAF7"/>
          </w:tcPr>
          <w:p>
            <w:r>
              <w:rPr>
                <w:b/>
              </w:rPr>
            </w:r>
            <w:r>
              <w:rPr>
                <w:b/>
              </w:rPr>
              <w:t>Stage 2</w:t>
            </w:r>
          </w:p>
        </w:tc>
        <w:tc>
          <w:tcPr>
            <w:tcW w:type="dxa" w:w="2520"/>
            <w:vAlign w:val="center"/>
            <w:shd w:fill="D9EAF7"/>
          </w:tcPr>
          <w:p>
            <w:r>
              <w:rPr>
                <w:b/>
              </w:rPr>
            </w:r>
            <w:r>
              <w:rPr>
                <w:b/>
              </w:rPr>
              <w:t>Stage 3</w:t>
            </w:r>
          </w:p>
        </w:tc>
      </w:tr>
      <w:tr>
        <w:tc>
          <w:tcPr>
            <w:tcW w:type="dxa" w:w="2520"/>
            <w:vAlign w:val="center"/>
          </w:tcPr>
          <w:p>
            <w:r/>
            <w:r>
              <w:t>Outer-race deterioration</w:t>
            </w:r>
          </w:p>
        </w:tc>
        <w:tc>
          <w:tcPr>
            <w:tcW w:type="dxa" w:w="2520"/>
            <w:vAlign w:val="center"/>
          </w:tcPr>
          <w:p>
            <w:r/>
            <w:r>
              <w:t>90 days</w:t>
            </w:r>
          </w:p>
        </w:tc>
        <w:tc>
          <w:tcPr>
            <w:tcW w:type="dxa" w:w="2520"/>
            <w:vAlign w:val="center"/>
          </w:tcPr>
          <w:p>
            <w:r/>
            <w:r>
              <w:t>30 days</w:t>
            </w:r>
          </w:p>
        </w:tc>
        <w:tc>
          <w:tcPr>
            <w:tcW w:type="dxa" w:w="2520"/>
            <w:vAlign w:val="center"/>
          </w:tcPr>
          <w:p>
            <w:r/>
            <w:r>
              <w:t>7 days</w:t>
            </w:r>
          </w:p>
        </w:tc>
      </w:tr>
      <w:tr>
        <w:tc>
          <w:tcPr>
            <w:tcW w:type="dxa" w:w="2520"/>
            <w:vAlign w:val="center"/>
          </w:tcPr>
          <w:p>
            <w:r/>
            <w:r>
              <w:t>Inner-race deterioration</w:t>
            </w:r>
          </w:p>
        </w:tc>
        <w:tc>
          <w:tcPr>
            <w:tcW w:type="dxa" w:w="2520"/>
            <w:vAlign w:val="center"/>
          </w:tcPr>
          <w:p>
            <w:r/>
            <w:r>
              <w:t>80 days</w:t>
            </w:r>
          </w:p>
        </w:tc>
        <w:tc>
          <w:tcPr>
            <w:tcW w:type="dxa" w:w="2520"/>
            <w:vAlign w:val="center"/>
          </w:tcPr>
          <w:p>
            <w:r/>
            <w:r>
              <w:t>25 days</w:t>
            </w:r>
          </w:p>
        </w:tc>
        <w:tc>
          <w:tcPr>
            <w:tcW w:type="dxa" w:w="2520"/>
            <w:vAlign w:val="center"/>
          </w:tcPr>
          <w:p>
            <w:r/>
            <w:r>
              <w:t>5 days</w:t>
            </w:r>
          </w:p>
        </w:tc>
      </w:tr>
      <w:tr>
        <w:tc>
          <w:tcPr>
            <w:tcW w:type="dxa" w:w="2520"/>
            <w:vAlign w:val="center"/>
          </w:tcPr>
          <w:p>
            <w:r/>
            <w:r>
              <w:t>Lubrication issue</w:t>
            </w:r>
          </w:p>
        </w:tc>
        <w:tc>
          <w:tcPr>
            <w:tcW w:type="dxa" w:w="2520"/>
            <w:vAlign w:val="center"/>
          </w:tcPr>
          <w:p>
            <w:r/>
            <w:r>
              <w:t>60 days</w:t>
            </w:r>
          </w:p>
        </w:tc>
        <w:tc>
          <w:tcPr>
            <w:tcW w:type="dxa" w:w="2520"/>
            <w:vAlign w:val="center"/>
          </w:tcPr>
          <w:p>
            <w:r/>
            <w:r>
              <w:t>20 days</w:t>
            </w:r>
          </w:p>
        </w:tc>
        <w:tc>
          <w:tcPr>
            <w:tcW w:type="dxa" w:w="2520"/>
            <w:vAlign w:val="center"/>
          </w:tcPr>
          <w:p>
            <w:r/>
            <w:r>
              <w:t>5 days</w:t>
            </w:r>
          </w:p>
        </w:tc>
      </w:tr>
      <w:tr>
        <w:tc>
          <w:tcPr>
            <w:tcW w:type="dxa" w:w="2520"/>
            <w:vAlign w:val="center"/>
          </w:tcPr>
          <w:p>
            <w:r/>
            <w:r>
              <w:t>Cage deterioration</w:t>
            </w:r>
          </w:p>
        </w:tc>
        <w:tc>
          <w:tcPr>
            <w:tcW w:type="dxa" w:w="2520"/>
            <w:vAlign w:val="center"/>
          </w:tcPr>
          <w:p>
            <w:r/>
            <w:r>
              <w:t>75 days</w:t>
            </w:r>
          </w:p>
        </w:tc>
        <w:tc>
          <w:tcPr>
            <w:tcW w:type="dxa" w:w="2520"/>
            <w:vAlign w:val="center"/>
          </w:tcPr>
          <w:p>
            <w:r/>
            <w:r>
              <w:t>20 days</w:t>
            </w:r>
          </w:p>
        </w:tc>
        <w:tc>
          <w:tcPr>
            <w:tcW w:type="dxa" w:w="2520"/>
            <w:vAlign w:val="center"/>
          </w:tcPr>
          <w:p>
            <w:r/>
            <w:r>
              <w:t>4 days</w:t>
            </w:r>
          </w:p>
        </w:tc>
      </w:tr>
      <w:tr>
        <w:tc>
          <w:tcPr>
            <w:tcW w:type="dxa" w:w="2520"/>
            <w:vAlign w:val="center"/>
          </w:tcPr>
          <w:p>
            <w:r/>
            <w:r>
              <w:t>Rolling-element deterioration</w:t>
            </w:r>
          </w:p>
        </w:tc>
        <w:tc>
          <w:tcPr>
            <w:tcW w:type="dxa" w:w="2520"/>
            <w:vAlign w:val="center"/>
          </w:tcPr>
          <w:p>
            <w:r/>
            <w:r>
              <w:t>90 days</w:t>
            </w:r>
          </w:p>
        </w:tc>
        <w:tc>
          <w:tcPr>
            <w:tcW w:type="dxa" w:w="2520"/>
            <w:vAlign w:val="center"/>
          </w:tcPr>
          <w:p>
            <w:r/>
            <w:r>
              <w:t>30 days</w:t>
            </w:r>
          </w:p>
        </w:tc>
        <w:tc>
          <w:tcPr>
            <w:tcW w:type="dxa" w:w="2520"/>
            <w:vAlign w:val="center"/>
          </w:tcPr>
          <w:p>
            <w:r/>
            <w:r>
              <w:t>10 days</w:t>
            </w:r>
          </w:p>
        </w:tc>
      </w:tr>
    </w:tbl>
    <w:p>
      <w:r>
        <w:t>An undetermined condition is assigned a broad 45–999 day monitoring band and does not receive an imminent financial-exposure claim.</w:t>
      </w:r>
    </w:p>
    <w:p>
      <w:pPr>
        <w:pStyle w:val="Heading3"/>
      </w:pPr>
      <w:r>
        <w:t>8.4 Risk and response policy</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Risk level</w:t>
            </w:r>
          </w:p>
        </w:tc>
        <w:tc>
          <w:tcPr>
            <w:tcW w:type="dxa" w:w="3360"/>
            <w:vAlign w:val="center"/>
            <w:shd w:fill="D9EAF7"/>
          </w:tcPr>
          <w:p>
            <w:r>
              <w:rPr>
                <w:b/>
              </w:rPr>
            </w:r>
            <w:r>
              <w:rPr>
                <w:b/>
              </w:rPr>
              <w:t>First response considered</w:t>
            </w:r>
          </w:p>
        </w:tc>
        <w:tc>
          <w:tcPr>
            <w:tcW w:type="dxa" w:w="3360"/>
            <w:vAlign w:val="center"/>
            <w:shd w:fill="D9EAF7"/>
          </w:tcPr>
          <w:p>
            <w:r>
              <w:rPr>
                <w:b/>
              </w:rPr>
            </w:r>
            <w:r>
              <w:rPr>
                <w:b/>
              </w:rPr>
              <w:t>Urgency</w:t>
            </w:r>
          </w:p>
        </w:tc>
      </w:tr>
      <w:tr>
        <w:tc>
          <w:tcPr>
            <w:tcW w:type="dxa" w:w="3360"/>
            <w:vAlign w:val="center"/>
          </w:tcPr>
          <w:p>
            <w:r/>
            <w:r>
              <w:t>Critical</w:t>
            </w:r>
          </w:p>
        </w:tc>
        <w:tc>
          <w:tcPr>
            <w:tcW w:type="dxa" w:w="3360"/>
            <w:vAlign w:val="center"/>
          </w:tcPr>
          <w:p>
            <w:r/>
            <w:r>
              <w:t>Stop and replace</w:t>
            </w:r>
          </w:p>
        </w:tc>
        <w:tc>
          <w:tcPr>
            <w:tcW w:type="dxa" w:w="3360"/>
            <w:vAlign w:val="center"/>
          </w:tcPr>
          <w:p>
            <w:r/>
            <w:r>
              <w:t>Immediate</w:t>
            </w:r>
          </w:p>
        </w:tc>
      </w:tr>
      <w:tr>
        <w:tc>
          <w:tcPr>
            <w:tcW w:type="dxa" w:w="3360"/>
            <w:vAlign w:val="center"/>
          </w:tcPr>
          <w:p>
            <w:r/>
            <w:r>
              <w:t>High</w:t>
            </w:r>
          </w:p>
        </w:tc>
        <w:tc>
          <w:tcPr>
            <w:tcW w:type="dxa" w:w="3360"/>
            <w:vAlign w:val="center"/>
          </w:tcPr>
          <w:p>
            <w:r/>
            <w:r>
              <w:t>Repair at the next planned stop</w:t>
            </w:r>
          </w:p>
        </w:tc>
        <w:tc>
          <w:tcPr>
            <w:tcW w:type="dxa" w:w="3360"/>
            <w:vAlign w:val="center"/>
          </w:tcPr>
          <w:p>
            <w:r/>
            <w:r>
              <w:t>Urgent</w:t>
            </w:r>
          </w:p>
        </w:tc>
      </w:tr>
      <w:tr>
        <w:tc>
          <w:tcPr>
            <w:tcW w:type="dxa" w:w="3360"/>
            <w:vAlign w:val="center"/>
          </w:tcPr>
          <w:p>
            <w:r/>
            <w:r>
              <w:t>Medium</w:t>
            </w:r>
          </w:p>
        </w:tc>
        <w:tc>
          <w:tcPr>
            <w:tcW w:type="dxa" w:w="3360"/>
            <w:vAlign w:val="center"/>
          </w:tcPr>
          <w:p>
            <w:r/>
            <w:r>
              <w:t>Inspect during the next shift</w:t>
            </w:r>
          </w:p>
        </w:tc>
        <w:tc>
          <w:tcPr>
            <w:tcW w:type="dxa" w:w="3360"/>
            <w:vAlign w:val="center"/>
          </w:tcPr>
          <w:p>
            <w:r/>
            <w:r>
              <w:t>Planned</w:t>
            </w:r>
          </w:p>
        </w:tc>
      </w:tr>
      <w:tr>
        <w:tc>
          <w:tcPr>
            <w:tcW w:type="dxa" w:w="3360"/>
            <w:vAlign w:val="center"/>
          </w:tcPr>
          <w:p>
            <w:r/>
            <w:r>
              <w:t>Low</w:t>
            </w:r>
          </w:p>
        </w:tc>
        <w:tc>
          <w:tcPr>
            <w:tcW w:type="dxa" w:w="3360"/>
            <w:vAlign w:val="center"/>
          </w:tcPr>
          <w:p>
            <w:r/>
            <w:r>
              <w:t>Continue monitoring</w:t>
            </w:r>
          </w:p>
        </w:tc>
        <w:tc>
          <w:tcPr>
            <w:tcW w:type="dxa" w:w="3360"/>
            <w:vAlign w:val="center"/>
          </w:tcPr>
          <w:p>
            <w:r/>
            <w:r>
              <w:t>Monitor</w:t>
            </w:r>
          </w:p>
        </w:tc>
      </w:tr>
    </w:tbl>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Response</w:t>
            </w:r>
          </w:p>
        </w:tc>
        <w:tc>
          <w:tcPr>
            <w:tcW w:type="dxa" w:w="5040"/>
            <w:vAlign w:val="center"/>
            <w:shd w:fill="D9EAF7"/>
          </w:tcPr>
          <w:p>
            <w:r>
              <w:rPr>
                <w:b/>
              </w:rPr>
            </w:r>
            <w:r>
              <w:rPr>
                <w:b/>
              </w:rPr>
              <w:t>Current nominal duration</w:t>
            </w:r>
          </w:p>
        </w:tc>
      </w:tr>
      <w:tr>
        <w:tc>
          <w:tcPr>
            <w:tcW w:type="dxa" w:w="5040"/>
            <w:vAlign w:val="center"/>
          </w:tcPr>
          <w:p>
            <w:r/>
            <w:r>
              <w:t>Continue monitoring</w:t>
            </w:r>
          </w:p>
        </w:tc>
        <w:tc>
          <w:tcPr>
            <w:tcW w:type="dxa" w:w="5040"/>
            <w:vAlign w:val="center"/>
          </w:tcPr>
          <w:p>
            <w:r/>
            <w:r>
              <w:t>0 hours</w:t>
            </w:r>
          </w:p>
        </w:tc>
      </w:tr>
      <w:tr>
        <w:tc>
          <w:tcPr>
            <w:tcW w:type="dxa" w:w="5040"/>
            <w:vAlign w:val="center"/>
          </w:tcPr>
          <w:p>
            <w:r/>
            <w:r>
              <w:t>Inspect during next shift</w:t>
            </w:r>
          </w:p>
        </w:tc>
        <w:tc>
          <w:tcPr>
            <w:tcW w:type="dxa" w:w="5040"/>
            <w:vAlign w:val="center"/>
          </w:tcPr>
          <w:p>
            <w:r/>
            <w:r>
              <w:t>2 hours</w:t>
            </w:r>
          </w:p>
        </w:tc>
      </w:tr>
      <w:tr>
        <w:tc>
          <w:tcPr>
            <w:tcW w:type="dxa" w:w="5040"/>
            <w:vAlign w:val="center"/>
          </w:tcPr>
          <w:p>
            <w:r/>
            <w:r>
              <w:t>Repair at planned stop</w:t>
            </w:r>
          </w:p>
        </w:tc>
        <w:tc>
          <w:tcPr>
            <w:tcW w:type="dxa" w:w="5040"/>
            <w:vAlign w:val="center"/>
          </w:tcPr>
          <w:p>
            <w:r/>
            <w:r>
              <w:t>4 hours</w:t>
            </w:r>
          </w:p>
        </w:tc>
      </w:tr>
      <w:tr>
        <w:tc>
          <w:tcPr>
            <w:tcW w:type="dxa" w:w="5040"/>
            <w:vAlign w:val="center"/>
          </w:tcPr>
          <w:p>
            <w:r/>
            <w:r>
              <w:t>Derate and monitor</w:t>
            </w:r>
          </w:p>
        </w:tc>
        <w:tc>
          <w:tcPr>
            <w:tcW w:type="dxa" w:w="5040"/>
            <w:vAlign w:val="center"/>
          </w:tcPr>
          <w:p>
            <w:r/>
            <w:r>
              <w:t>0.5 hours</w:t>
            </w:r>
          </w:p>
        </w:tc>
      </w:tr>
      <w:tr>
        <w:tc>
          <w:tcPr>
            <w:tcW w:type="dxa" w:w="5040"/>
            <w:vAlign w:val="center"/>
          </w:tcPr>
          <w:p>
            <w:r/>
            <w:r>
              <w:t>Stop and replace</w:t>
            </w:r>
          </w:p>
        </w:tc>
        <w:tc>
          <w:tcPr>
            <w:tcW w:type="dxa" w:w="5040"/>
            <w:vAlign w:val="center"/>
          </w:tcPr>
          <w:p>
            <w:r/>
            <w:r>
              <w:t>6 hours</w:t>
            </w:r>
          </w:p>
        </w:tc>
      </w:tr>
      <w:tr>
        <w:tc>
          <w:tcPr>
            <w:tcW w:type="dxa" w:w="5040"/>
            <w:vAlign w:val="center"/>
          </w:tcPr>
          <w:p>
            <w:r/>
            <w:r>
              <w:t>Lubrication service</w:t>
            </w:r>
          </w:p>
        </w:tc>
        <w:tc>
          <w:tcPr>
            <w:tcW w:type="dxa" w:w="5040"/>
            <w:vAlign w:val="center"/>
          </w:tcPr>
          <w:p>
            <w:r/>
            <w:r>
              <w:t>3 hours</w:t>
            </w:r>
          </w:p>
        </w:tc>
      </w:tr>
    </w:tbl>
    <w:p>
      <w:r>
        <w:t>Repair, derating, replacement and lubrication service require human approval by default.</w:t>
      </w:r>
    </w:p>
    <w:p>
      <w:pPr>
        <w:pStyle w:val="Heading3"/>
      </w:pPr>
      <w:r>
        <w:t>8.5 Illustrative financial and authority parameters</w:t>
      </w:r>
    </w:p>
    <w:p>
      <w:r>
        <w:t>The current financial values are configurable planning figures and are clearly identified as illustrative until replaced by approved enterprise data.</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Pr>
                <w:b/>
              </w:rPr>
            </w:r>
            <w:r>
              <w:rPr>
                <w:b/>
              </w:rPr>
              <w:t>Response</w:t>
            </w:r>
          </w:p>
        </w:tc>
        <w:tc>
          <w:tcPr>
            <w:tcW w:type="dxa" w:w="2520"/>
            <w:vAlign w:val="center"/>
            <w:shd w:fill="D9EAF7"/>
          </w:tcPr>
          <w:p>
            <w:r>
              <w:rPr>
                <w:b/>
              </w:rPr>
            </w:r>
            <w:r>
              <w:rPr>
                <w:b/>
              </w:rPr>
              <w:t>Parts</w:t>
            </w:r>
          </w:p>
        </w:tc>
        <w:tc>
          <w:tcPr>
            <w:tcW w:type="dxa" w:w="2520"/>
            <w:vAlign w:val="center"/>
            <w:shd w:fill="D9EAF7"/>
          </w:tcPr>
          <w:p>
            <w:r>
              <w:rPr>
                <w:b/>
              </w:rPr>
            </w:r>
            <w:r>
              <w:rPr>
                <w:b/>
              </w:rPr>
              <w:t>Labour</w:t>
            </w:r>
          </w:p>
        </w:tc>
        <w:tc>
          <w:tcPr>
            <w:tcW w:type="dxa" w:w="2520"/>
            <w:vAlign w:val="center"/>
            <w:shd w:fill="D9EAF7"/>
          </w:tcPr>
          <w:p>
            <w:r>
              <w:rPr>
                <w:b/>
              </w:rPr>
            </w:r>
            <w:r>
              <w:rPr>
                <w:b/>
              </w:rPr>
              <w:t>Planned total</w:t>
            </w:r>
          </w:p>
        </w:tc>
      </w:tr>
      <w:tr>
        <w:tc>
          <w:tcPr>
            <w:tcW w:type="dxa" w:w="2520"/>
            <w:vAlign w:val="center"/>
          </w:tcPr>
          <w:p>
            <w:r/>
            <w:r>
              <w:t>Stop and replace</w:t>
            </w:r>
          </w:p>
        </w:tc>
        <w:tc>
          <w:tcPr>
            <w:tcW w:type="dxa" w:w="2520"/>
            <w:vAlign w:val="center"/>
          </w:tcPr>
          <w:p>
            <w:r/>
            <w:r>
              <w:t>USD 8,000</w:t>
            </w:r>
          </w:p>
        </w:tc>
        <w:tc>
          <w:tcPr>
            <w:tcW w:type="dxa" w:w="2520"/>
            <w:vAlign w:val="center"/>
          </w:tcPr>
          <w:p>
            <w:r/>
            <w:r>
              <w:t>USD 12,000</w:t>
            </w:r>
          </w:p>
        </w:tc>
        <w:tc>
          <w:tcPr>
            <w:tcW w:type="dxa" w:w="2520"/>
            <w:vAlign w:val="center"/>
          </w:tcPr>
          <w:p>
            <w:r/>
            <w:r>
              <w:t>USD 20,000</w:t>
            </w:r>
          </w:p>
        </w:tc>
      </w:tr>
      <w:tr>
        <w:tc>
          <w:tcPr>
            <w:tcW w:type="dxa" w:w="2520"/>
            <w:vAlign w:val="center"/>
          </w:tcPr>
          <w:p>
            <w:r/>
            <w:r>
              <w:t>Bearing replacement</w:t>
            </w:r>
          </w:p>
        </w:tc>
        <w:tc>
          <w:tcPr>
            <w:tcW w:type="dxa" w:w="2520"/>
            <w:vAlign w:val="center"/>
          </w:tcPr>
          <w:p>
            <w:r/>
            <w:r>
              <w:t>USD 8,000</w:t>
            </w:r>
          </w:p>
        </w:tc>
        <w:tc>
          <w:tcPr>
            <w:tcW w:type="dxa" w:w="2520"/>
            <w:vAlign w:val="center"/>
          </w:tcPr>
          <w:p>
            <w:r/>
            <w:r>
              <w:t>USD 12,000</w:t>
            </w:r>
          </w:p>
        </w:tc>
        <w:tc>
          <w:tcPr>
            <w:tcW w:type="dxa" w:w="2520"/>
            <w:vAlign w:val="center"/>
          </w:tcPr>
          <w:p>
            <w:r/>
            <w:r>
              <w:t>USD 20,000</w:t>
            </w:r>
          </w:p>
        </w:tc>
      </w:tr>
      <w:tr>
        <w:tc>
          <w:tcPr>
            <w:tcW w:type="dxa" w:w="2520"/>
            <w:vAlign w:val="center"/>
          </w:tcPr>
          <w:p>
            <w:r/>
            <w:r>
              <w:t>Repair at planned stop</w:t>
            </w:r>
          </w:p>
        </w:tc>
        <w:tc>
          <w:tcPr>
            <w:tcW w:type="dxa" w:w="2520"/>
            <w:vAlign w:val="center"/>
          </w:tcPr>
          <w:p>
            <w:r/>
            <w:r>
              <w:t>USD 6,000</w:t>
            </w:r>
          </w:p>
        </w:tc>
        <w:tc>
          <w:tcPr>
            <w:tcW w:type="dxa" w:w="2520"/>
            <w:vAlign w:val="center"/>
          </w:tcPr>
          <w:p>
            <w:r/>
            <w:r>
              <w:t>USD 9,000</w:t>
            </w:r>
          </w:p>
        </w:tc>
        <w:tc>
          <w:tcPr>
            <w:tcW w:type="dxa" w:w="2520"/>
            <w:vAlign w:val="center"/>
          </w:tcPr>
          <w:p>
            <w:r/>
            <w:r>
              <w:t>USD 15,000</w:t>
            </w:r>
          </w:p>
        </w:tc>
      </w:tr>
      <w:tr>
        <w:tc>
          <w:tcPr>
            <w:tcW w:type="dxa" w:w="2520"/>
            <w:vAlign w:val="center"/>
          </w:tcPr>
          <w:p>
            <w:r/>
            <w:r>
              <w:t>Lubrication service</w:t>
            </w:r>
          </w:p>
        </w:tc>
        <w:tc>
          <w:tcPr>
            <w:tcW w:type="dxa" w:w="2520"/>
            <w:vAlign w:val="center"/>
          </w:tcPr>
          <w:p>
            <w:r/>
            <w:r>
              <w:t>USD 500</w:t>
            </w:r>
          </w:p>
        </w:tc>
        <w:tc>
          <w:tcPr>
            <w:tcW w:type="dxa" w:w="2520"/>
            <w:vAlign w:val="center"/>
          </w:tcPr>
          <w:p>
            <w:r/>
            <w:r>
              <w:t>USD 1,500</w:t>
            </w:r>
          </w:p>
        </w:tc>
        <w:tc>
          <w:tcPr>
            <w:tcW w:type="dxa" w:w="2520"/>
            <w:vAlign w:val="center"/>
          </w:tcPr>
          <w:p>
            <w:r/>
            <w:r>
              <w:t>USD 2,000</w:t>
            </w:r>
          </w:p>
        </w:tc>
      </w:tr>
      <w:tr>
        <w:tc>
          <w:tcPr>
            <w:tcW w:type="dxa" w:w="2520"/>
            <w:vAlign w:val="center"/>
          </w:tcPr>
          <w:p>
            <w:r/>
            <w:r>
              <w:t>Inspect during next shift</w:t>
            </w:r>
          </w:p>
        </w:tc>
        <w:tc>
          <w:tcPr>
            <w:tcW w:type="dxa" w:w="2520"/>
            <w:vAlign w:val="center"/>
          </w:tcPr>
          <w:p>
            <w:r/>
            <w:r>
              <w:t>USD 0</w:t>
            </w:r>
          </w:p>
        </w:tc>
        <w:tc>
          <w:tcPr>
            <w:tcW w:type="dxa" w:w="2520"/>
            <w:vAlign w:val="center"/>
          </w:tcPr>
          <w:p>
            <w:r/>
            <w:r>
              <w:t>USD 1,200</w:t>
            </w:r>
          </w:p>
        </w:tc>
        <w:tc>
          <w:tcPr>
            <w:tcW w:type="dxa" w:w="2520"/>
            <w:vAlign w:val="center"/>
          </w:tcPr>
          <w:p>
            <w:r/>
            <w:r>
              <w:t>USD 1,200</w:t>
            </w:r>
          </w:p>
        </w:tc>
      </w:tr>
      <w:tr>
        <w:tc>
          <w:tcPr>
            <w:tcW w:type="dxa" w:w="2520"/>
            <w:vAlign w:val="center"/>
          </w:tcPr>
          <w:p>
            <w:r/>
            <w:r>
              <w:t>Derate and monitor</w:t>
            </w:r>
          </w:p>
        </w:tc>
        <w:tc>
          <w:tcPr>
            <w:tcW w:type="dxa" w:w="2520"/>
            <w:vAlign w:val="center"/>
          </w:tcPr>
          <w:p>
            <w:r/>
            <w:r>
              <w:t>USD 0</w:t>
            </w:r>
          </w:p>
        </w:tc>
        <w:tc>
          <w:tcPr>
            <w:tcW w:type="dxa" w:w="2520"/>
            <w:vAlign w:val="center"/>
          </w:tcPr>
          <w:p>
            <w:r/>
            <w:r>
              <w:t>USD 600</w:t>
            </w:r>
          </w:p>
        </w:tc>
        <w:tc>
          <w:tcPr>
            <w:tcW w:type="dxa" w:w="2520"/>
            <w:vAlign w:val="center"/>
          </w:tcPr>
          <w:p>
            <w:r/>
            <w:r>
              <w:t>USD 600</w:t>
            </w:r>
          </w:p>
        </w:tc>
      </w:tr>
      <w:tr>
        <w:tc>
          <w:tcPr>
            <w:tcW w:type="dxa" w:w="2520"/>
            <w:vAlign w:val="center"/>
          </w:tcPr>
          <w:p>
            <w:r/>
            <w:r>
              <w:t>Continue monitoring</w:t>
            </w:r>
          </w:p>
        </w:tc>
        <w:tc>
          <w:tcPr>
            <w:tcW w:type="dxa" w:w="2520"/>
            <w:vAlign w:val="center"/>
          </w:tcPr>
          <w:p>
            <w:r/>
            <w:r>
              <w:t>USD 0</w:t>
            </w:r>
          </w:p>
        </w:tc>
        <w:tc>
          <w:tcPr>
            <w:tcW w:type="dxa" w:w="2520"/>
            <w:vAlign w:val="center"/>
          </w:tcPr>
          <w:p>
            <w:r/>
            <w:r>
              <w:t>USD 300</w:t>
            </w:r>
          </w:p>
        </w:tc>
        <w:tc>
          <w:tcPr>
            <w:tcW w:type="dxa" w:w="2520"/>
            <w:vAlign w:val="center"/>
          </w:tcPr>
          <w:p>
            <w:r/>
            <w:r>
              <w:t>USD 300</w:t>
            </w:r>
          </w:p>
        </w:tc>
      </w:tr>
    </w:tbl>
    <w:p>
      <w:r>
        <w:t>The current deferred-failure multiplier is 7.0. One configured reference asset has an approved-action value of USD 48,000 and a deferred-impact value of USD 2,016,000 for comparative decision support.</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Decision role</w:t>
            </w:r>
          </w:p>
        </w:tc>
        <w:tc>
          <w:tcPr>
            <w:tcW w:type="dxa" w:w="5040"/>
            <w:vAlign w:val="center"/>
            <w:shd w:fill="D9EAF7"/>
          </w:tcPr>
          <w:p>
            <w:r>
              <w:rPr>
                <w:b/>
              </w:rPr>
            </w:r>
            <w:r>
              <w:rPr>
                <w:b/>
              </w:rPr>
              <w:t>Current authority</w:t>
            </w:r>
          </w:p>
        </w:tc>
      </w:tr>
      <w:tr>
        <w:tc>
          <w:tcPr>
            <w:tcW w:type="dxa" w:w="5040"/>
            <w:vAlign w:val="center"/>
          </w:tcPr>
          <w:p>
            <w:r/>
            <w:r>
              <w:t>Plant Supervisor</w:t>
            </w:r>
          </w:p>
        </w:tc>
        <w:tc>
          <w:tcPr>
            <w:tcW w:type="dxa" w:w="5040"/>
            <w:vAlign w:val="center"/>
          </w:tcPr>
          <w:p>
            <w:r/>
            <w:r>
              <w:t>USD 100,000</w:t>
            </w:r>
          </w:p>
        </w:tc>
      </w:tr>
      <w:tr>
        <w:tc>
          <w:tcPr>
            <w:tcW w:type="dxa" w:w="5040"/>
            <w:vAlign w:val="center"/>
          </w:tcPr>
          <w:p>
            <w:r/>
            <w:r>
              <w:t>Plant Manager</w:t>
            </w:r>
          </w:p>
        </w:tc>
        <w:tc>
          <w:tcPr>
            <w:tcW w:type="dxa" w:w="5040"/>
            <w:vAlign w:val="center"/>
          </w:tcPr>
          <w:p>
            <w:r/>
            <w:r>
              <w:t>USD 1,000,000</w:t>
            </w:r>
          </w:p>
        </w:tc>
      </w:tr>
      <w:tr>
        <w:tc>
          <w:tcPr>
            <w:tcW w:type="dxa" w:w="5040"/>
            <w:vAlign w:val="center"/>
          </w:tcPr>
          <w:p>
            <w:r/>
            <w:r>
              <w:t>VP Operations</w:t>
            </w:r>
          </w:p>
        </w:tc>
        <w:tc>
          <w:tcPr>
            <w:tcW w:type="dxa" w:w="5040"/>
            <w:vAlign w:val="center"/>
          </w:tcPr>
          <w:p>
            <w:r/>
            <w:r>
              <w:t>USD 5,000,000</w:t>
            </w:r>
          </w:p>
        </w:tc>
      </w:tr>
    </w:tbl>
    <w:p>
      <w:pPr>
        <w:pStyle w:val="Heading3"/>
      </w:pPr>
      <w:r>
        <w:t>8.6 Execution ownership</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Pr>
                <w:b/>
              </w:rPr>
            </w:r>
            <w:r>
              <w:rPr>
                <w:b/>
              </w:rPr>
              <w:t>Activity</w:t>
            </w:r>
          </w:p>
        </w:tc>
        <w:tc>
          <w:tcPr>
            <w:tcW w:type="dxa" w:w="3360"/>
            <w:vAlign w:val="center"/>
            <w:shd w:fill="D9EAF7"/>
          </w:tcPr>
          <w:p>
            <w:r>
              <w:rPr>
                <w:b/>
              </w:rPr>
            </w:r>
            <w:r>
              <w:rPr>
                <w:b/>
              </w:rPr>
              <w:t>Default owner</w:t>
            </w:r>
          </w:p>
        </w:tc>
        <w:tc>
          <w:tcPr>
            <w:tcW w:type="dxa" w:w="3360"/>
            <w:vAlign w:val="center"/>
            <w:shd w:fill="D9EAF7"/>
          </w:tcPr>
          <w:p>
            <w:r>
              <w:rPr>
                <w:b/>
              </w:rPr>
            </w:r>
            <w:r>
              <w:rPr>
                <w:b/>
              </w:rPr>
              <w:t>Timing</w:t>
            </w:r>
          </w:p>
        </w:tc>
      </w:tr>
      <w:tr>
        <w:tc>
          <w:tcPr>
            <w:tcW w:type="dxa" w:w="3360"/>
            <w:vAlign w:val="center"/>
          </w:tcPr>
          <w:p>
            <w:r/>
            <w:r>
              <w:t>Work-order creation</w:t>
            </w:r>
          </w:p>
        </w:tc>
        <w:tc>
          <w:tcPr>
            <w:tcW w:type="dxa" w:w="3360"/>
            <w:vAlign w:val="center"/>
          </w:tcPr>
          <w:p>
            <w:r/>
            <w:r>
              <w:t>Maintenance Planner</w:t>
            </w:r>
          </w:p>
        </w:tc>
        <w:tc>
          <w:tcPr>
            <w:tcW w:type="dxa" w:w="3360"/>
            <w:vAlign w:val="center"/>
          </w:tcPr>
          <w:p>
            <w:r/>
            <w:r>
              <w:t>Immediate following approval</w:t>
            </w:r>
          </w:p>
        </w:tc>
      </w:tr>
      <w:tr>
        <w:tc>
          <w:tcPr>
            <w:tcW w:type="dxa" w:w="3360"/>
            <w:vAlign w:val="center"/>
          </w:tcPr>
          <w:p>
            <w:r/>
            <w:r>
              <w:t>Operational notifications</w:t>
            </w:r>
          </w:p>
        </w:tc>
        <w:tc>
          <w:tcPr>
            <w:tcW w:type="dxa" w:w="3360"/>
            <w:vAlign w:val="center"/>
          </w:tcPr>
          <w:p>
            <w:r/>
            <w:r>
              <w:t>Plant Supervisor</w:t>
            </w:r>
          </w:p>
        </w:tc>
        <w:tc>
          <w:tcPr>
            <w:tcW w:type="dxa" w:w="3360"/>
            <w:vAlign w:val="center"/>
          </w:tcPr>
          <w:p>
            <w:r/>
            <w:r>
              <w:t>Within 15 minutes</w:t>
            </w:r>
          </w:p>
        </w:tc>
      </w:tr>
      <w:tr>
        <w:tc>
          <w:tcPr>
            <w:tcW w:type="dxa" w:w="3360"/>
            <w:vAlign w:val="center"/>
          </w:tcPr>
          <w:p>
            <w:r/>
            <w:r>
              <w:t>Parts confirmation</w:t>
            </w:r>
          </w:p>
        </w:tc>
        <w:tc>
          <w:tcPr>
            <w:tcW w:type="dxa" w:w="3360"/>
            <w:vAlign w:val="center"/>
          </w:tcPr>
          <w:p>
            <w:r/>
            <w:r>
              <w:t>Maintenance Planner</w:t>
            </w:r>
          </w:p>
        </w:tc>
        <w:tc>
          <w:tcPr>
            <w:tcW w:type="dxa" w:w="3360"/>
            <w:vAlign w:val="center"/>
          </w:tcPr>
          <w:p>
            <w:r/>
            <w:r>
              <w:t>Before the minimum RUL date</w:t>
            </w:r>
          </w:p>
        </w:tc>
      </w:tr>
      <w:tr>
        <w:tc>
          <w:tcPr>
            <w:tcW w:type="dxa" w:w="3360"/>
            <w:vAlign w:val="center"/>
          </w:tcPr>
          <w:p>
            <w:r/>
            <w:r>
              <w:t>Maintenance-window confirmation</w:t>
            </w:r>
          </w:p>
        </w:tc>
        <w:tc>
          <w:tcPr>
            <w:tcW w:type="dxa" w:w="3360"/>
            <w:vAlign w:val="center"/>
          </w:tcPr>
          <w:p>
            <w:r/>
            <w:r>
              <w:t>Plant Supervisor</w:t>
            </w:r>
          </w:p>
        </w:tc>
        <w:tc>
          <w:tcPr>
            <w:tcW w:type="dxa" w:w="3360"/>
            <w:vAlign w:val="center"/>
          </w:tcPr>
          <w:p>
            <w:r/>
            <w:r>
              <w:t>Within 4 hours; escalate when required</w:t>
            </w:r>
          </w:p>
        </w:tc>
      </w:tr>
    </w:tbl>
    <w:p>
      <w:r>
        <w:t>The execution record identifies the activity, status, owner, deadline and escalation requirement for each step.</w:t>
      </w:r>
    </w:p>
    <w:p>
      <w:pPr>
        <w:pStyle w:val="Heading3"/>
      </w:pPr>
      <w:r>
        <w:t>8.7 Conversation and response controls</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Parameter</w:t>
            </w:r>
          </w:p>
        </w:tc>
        <w:tc>
          <w:tcPr>
            <w:tcW w:type="dxa" w:w="5040"/>
            <w:vAlign w:val="center"/>
            <w:shd w:fill="D9EAF7"/>
          </w:tcPr>
          <w:p>
            <w:r>
              <w:rPr>
                <w:b/>
              </w:rPr>
            </w:r>
            <w:r>
              <w:rPr>
                <w:b/>
              </w:rPr>
              <w:t>Current default</w:t>
            </w:r>
          </w:p>
        </w:tc>
      </w:tr>
      <w:tr>
        <w:tc>
          <w:tcPr>
            <w:tcW w:type="dxa" w:w="5040"/>
            <w:vAlign w:val="center"/>
          </w:tcPr>
          <w:p>
            <w:r/>
            <w:r>
              <w:t>Maximum question length</w:t>
            </w:r>
          </w:p>
        </w:tc>
        <w:tc>
          <w:tcPr>
            <w:tcW w:type="dxa" w:w="5040"/>
            <w:vAlign w:val="center"/>
          </w:tcPr>
          <w:p>
            <w:r/>
            <w:r>
              <w:t>2,000 characters</w:t>
            </w:r>
          </w:p>
        </w:tc>
      </w:tr>
      <w:tr>
        <w:tc>
          <w:tcPr>
            <w:tcW w:type="dxa" w:w="5040"/>
            <w:vAlign w:val="center"/>
          </w:tcPr>
          <w:p>
            <w:r/>
            <w:r>
              <w:t>Default audience</w:t>
            </w:r>
          </w:p>
        </w:tc>
        <w:tc>
          <w:tcPr>
            <w:tcW w:type="dxa" w:w="5040"/>
            <w:vAlign w:val="center"/>
          </w:tcPr>
          <w:p>
            <w:r/>
            <w:r>
              <w:t>Plant Supervisor</w:t>
            </w:r>
          </w:p>
        </w:tc>
      </w:tr>
      <w:tr>
        <w:tc>
          <w:tcPr>
            <w:tcW w:type="dxa" w:w="5040"/>
            <w:vAlign w:val="center"/>
          </w:tcPr>
          <w:p>
            <w:r/>
            <w:r>
              <w:t>Conversation expiry</w:t>
            </w:r>
          </w:p>
        </w:tc>
        <w:tc>
          <w:tcPr>
            <w:tcW w:type="dxa" w:w="5040"/>
            <w:vAlign w:val="center"/>
          </w:tcPr>
          <w:p>
            <w:r/>
            <w:r>
              <w:t>30 minutes</w:t>
            </w:r>
          </w:p>
        </w:tc>
      </w:tr>
      <w:tr>
        <w:tc>
          <w:tcPr>
            <w:tcW w:type="dxa" w:w="5040"/>
            <w:vAlign w:val="center"/>
          </w:tcPr>
          <w:p>
            <w:r/>
            <w:r>
              <w:t>Retained turns per conversation</w:t>
            </w:r>
          </w:p>
        </w:tc>
        <w:tc>
          <w:tcPr>
            <w:tcW w:type="dxa" w:w="5040"/>
            <w:vAlign w:val="center"/>
          </w:tcPr>
          <w:p>
            <w:r/>
            <w:r>
              <w:t>12</w:t>
            </w:r>
          </w:p>
        </w:tc>
      </w:tr>
      <w:tr>
        <w:tc>
          <w:tcPr>
            <w:tcW w:type="dxa" w:w="5040"/>
            <w:vAlign w:val="center"/>
          </w:tcPr>
          <w:p>
            <w:r/>
            <w:r>
              <w:t>Maximum response length</w:t>
            </w:r>
          </w:p>
        </w:tc>
        <w:tc>
          <w:tcPr>
            <w:tcW w:type="dxa" w:w="5040"/>
            <w:vAlign w:val="center"/>
          </w:tcPr>
          <w:p>
            <w:r/>
            <w:r>
              <w:t>4,000 characters</w:t>
            </w:r>
          </w:p>
        </w:tc>
      </w:tr>
      <w:tr>
        <w:tc>
          <w:tcPr>
            <w:tcW w:type="dxa" w:w="5040"/>
            <w:vAlign w:val="center"/>
          </w:tcPr>
          <w:p>
            <w:r/>
            <w:r>
              <w:t>Maximum response-review cycles</w:t>
            </w:r>
          </w:p>
        </w:tc>
        <w:tc>
          <w:tcPr>
            <w:tcW w:type="dxa" w:w="5040"/>
            <w:vAlign w:val="center"/>
          </w:tcPr>
          <w:p>
            <w:r/>
            <w:r>
              <w:t>3</w:t>
            </w:r>
          </w:p>
        </w:tc>
      </w:tr>
    </w:tbl>
    <w:p>
      <w:r>
        <w:t>When the user changes assets, the active result and evidence are updated to the new asset. Prior evidence may remain associated with its original asset for multi-asset continuity but is never presented as evidence for the new asset.</w:t>
      </w:r>
    </w:p>
    <w:p>
      <w:pPr>
        <w:pStyle w:val="Heading2"/>
      </w:pPr>
      <w:r>
        <w:t>9. Work-order and information policy</w:t>
      </w:r>
    </w:p>
    <w:p>
      <w:r>
        <w:t>The operational work-order view contains only records created in real time by an authorized user or an approved execution. Reference and validation records are not loaded into the operational view at application start.</w:t>
      </w:r>
    </w:p>
    <w:p>
      <w:r>
        <w:t>Each real-time work order may contain asset, condition, action, priority, responsible owner, due date, RUL, risk, parts, crew, checklist and cost information when those values are available. Closing, cancelling or rejecting a work order removes it from the active task view.</w:t>
      </w:r>
    </w:p>
    <w:p>
      <w:pPr>
        <w:pStyle w:val="Heading2"/>
      </w:pPr>
      <w:r>
        <w:t>10. Knowledge and evidence governance</w:t>
      </w:r>
    </w:p>
    <w:p>
      <w:r>
        <w:t>Operational guidance is drawn from controlled procedures, approved terminology and validated historical cases. Responses identify applicable sources and do not create an asset-specific diagnosis, RUL, cost or maintenance instruction from general information alone.</w:t>
      </w:r>
    </w:p>
    <w:p>
      <w:r>
        <w:t>Current configurable knowledge parameters are:</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Parameter</w:t>
            </w:r>
          </w:p>
        </w:tc>
        <w:tc>
          <w:tcPr>
            <w:tcW w:type="dxa" w:w="5040"/>
            <w:vAlign w:val="center"/>
            <w:shd w:fill="D9EAF7"/>
          </w:tcPr>
          <w:p>
            <w:r>
              <w:rPr>
                <w:b/>
              </w:rPr>
            </w:r>
            <w:r>
              <w:rPr>
                <w:b/>
              </w:rPr>
              <w:t>Current default</w:t>
            </w:r>
          </w:p>
        </w:tc>
      </w:tr>
      <w:tr>
        <w:tc>
          <w:tcPr>
            <w:tcW w:type="dxa" w:w="5040"/>
            <w:vAlign w:val="center"/>
          </w:tcPr>
          <w:p>
            <w:r/>
            <w:r>
              <w:t>Procedure/case results considered</w:t>
            </w:r>
          </w:p>
        </w:tc>
        <w:tc>
          <w:tcPr>
            <w:tcW w:type="dxa" w:w="5040"/>
            <w:vAlign w:val="center"/>
          </w:tcPr>
          <w:p>
            <w:r/>
            <w:r>
              <w:t>Top 5</w:t>
            </w:r>
          </w:p>
        </w:tc>
      </w:tr>
      <w:tr>
        <w:tc>
          <w:tcPr>
            <w:tcW w:type="dxa" w:w="5040"/>
            <w:vAlign w:val="center"/>
          </w:tcPr>
          <w:p>
            <w:r/>
            <w:r>
              <w:t>Minimum relevance score</w:t>
            </w:r>
          </w:p>
        </w:tc>
        <w:tc>
          <w:tcPr>
            <w:tcW w:type="dxa" w:w="5040"/>
            <w:vAlign w:val="center"/>
          </w:tcPr>
          <w:p>
            <w:r/>
            <w:r>
              <w:t>0.45</w:t>
            </w:r>
          </w:p>
        </w:tc>
      </w:tr>
      <w:tr>
        <w:tc>
          <w:tcPr>
            <w:tcW w:type="dxa" w:w="5040"/>
            <w:vAlign w:val="center"/>
          </w:tcPr>
          <w:p>
            <w:r/>
            <w:r>
              <w:t>Fault-match weighting</w:t>
            </w:r>
          </w:p>
        </w:tc>
        <w:tc>
          <w:tcPr>
            <w:tcW w:type="dxa" w:w="5040"/>
            <w:vAlign w:val="center"/>
          </w:tcPr>
          <w:p>
            <w:r/>
            <w:r>
              <w:t>0.25</w:t>
            </w:r>
          </w:p>
        </w:tc>
      </w:tr>
      <w:tr>
        <w:tc>
          <w:tcPr>
            <w:tcW w:type="dxa" w:w="5040"/>
            <w:vAlign w:val="center"/>
          </w:tcPr>
          <w:p>
            <w:r/>
            <w:r>
              <w:t>Asset-type weighting</w:t>
            </w:r>
          </w:p>
        </w:tc>
        <w:tc>
          <w:tcPr>
            <w:tcW w:type="dxa" w:w="5040"/>
            <w:vAlign w:val="center"/>
          </w:tcPr>
          <w:p>
            <w:r/>
            <w:r>
              <w:t>0.15</w:t>
            </w:r>
          </w:p>
        </w:tc>
      </w:tr>
      <w:tr>
        <w:tc>
          <w:tcPr>
            <w:tcW w:type="dxa" w:w="5040"/>
            <w:vAlign w:val="center"/>
          </w:tcPr>
          <w:p>
            <w:r/>
            <w:r>
              <w:t>Stage weighting</w:t>
            </w:r>
          </w:p>
        </w:tc>
        <w:tc>
          <w:tcPr>
            <w:tcW w:type="dxa" w:w="5040"/>
            <w:vAlign w:val="center"/>
          </w:tcPr>
          <w:p>
            <w:r/>
            <w:r>
              <w:t>0.10</w:t>
            </w:r>
          </w:p>
        </w:tc>
      </w:tr>
      <w:tr>
        <w:tc>
          <w:tcPr>
            <w:tcW w:type="dxa" w:w="5040"/>
            <w:vAlign w:val="center"/>
          </w:tcPr>
          <w:p>
            <w:r/>
            <w:r>
              <w:t>Identified source required</w:t>
            </w:r>
          </w:p>
        </w:tc>
        <w:tc>
          <w:tcPr>
            <w:tcW w:type="dxa" w:w="5040"/>
            <w:vAlign w:val="center"/>
          </w:tcPr>
          <w:p>
            <w:r/>
            <w:r>
              <w:t>Yes</w:t>
            </w:r>
          </w:p>
        </w:tc>
      </w:tr>
      <w:tr>
        <w:tc>
          <w:tcPr>
            <w:tcW w:type="dxa" w:w="5040"/>
            <w:vAlign w:val="center"/>
          </w:tcPr>
          <w:p>
            <w:r/>
            <w:r>
              <w:t>Open-question passages presented</w:t>
            </w:r>
          </w:p>
        </w:tc>
        <w:tc>
          <w:tcPr>
            <w:tcW w:type="dxa" w:w="5040"/>
            <w:vAlign w:val="center"/>
          </w:tcPr>
          <w:p>
            <w:r/>
            <w:r>
              <w:t>Maximum 3</w:t>
            </w:r>
          </w:p>
        </w:tc>
      </w:tr>
      <w:tr>
        <w:tc>
          <w:tcPr>
            <w:tcW w:type="dxa" w:w="5040"/>
            <w:vAlign w:val="center"/>
          </w:tcPr>
          <w:p>
            <w:r/>
            <w:r>
              <w:t>Open-question response length</w:t>
            </w:r>
          </w:p>
        </w:tc>
        <w:tc>
          <w:tcPr>
            <w:tcW w:type="dxa" w:w="5040"/>
            <w:vAlign w:val="center"/>
          </w:tcPr>
          <w:p>
            <w:r/>
            <w:r>
              <w:t>Maximum 1,600 characters</w:t>
            </w:r>
          </w:p>
        </w:tc>
      </w:tr>
    </w:tbl>
    <w:p>
      <w:r>
        <w:t>AI-assisted narrative may improve clarity and summarization, but it cannot change verified measurements, governed calculations, approval decisions or confirmed outcomes.</w:t>
      </w:r>
    </w:p>
    <w:p>
      <w:pPr>
        <w:pStyle w:val="Heading2"/>
      </w:pPr>
      <w:r>
        <w:t>11. Learning and organizational memory</w:t>
      </w:r>
    </w:p>
    <w:p>
      <w:r>
        <w:t>A case is eligible for organizational learning only when execution is recorded as successful or partially successful and closure feedback contains a valid timestamp and root cause. Duplicate cases are not learned twice.</w:t>
      </w:r>
    </w:p>
    <w:p>
      <w:r>
        <w:t>The current similar-case view returns up to five relevant cases above a 0.15 relevance threshold. This supports questions such as “What were the last three failures?” and “What action worked in a comparable case?” while keeping the answer limited to confirmed records.</w:t>
      </w:r>
    </w:p>
    <w:p>
      <w:pPr>
        <w:pStyle w:val="Heading2"/>
      </w:pPr>
      <w:r>
        <w:t>12. Management measures</w:t>
      </w:r>
    </w:p>
    <w:p>
      <w:r>
        <w:t>Recommended measures for ongoing value review are:</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Measure</w:t>
            </w:r>
          </w:p>
        </w:tc>
        <w:tc>
          <w:tcPr>
            <w:tcW w:type="dxa" w:w="5040"/>
            <w:vAlign w:val="center"/>
            <w:shd w:fill="D9EAF7"/>
          </w:tcPr>
          <w:p>
            <w:r>
              <w:rPr>
                <w:b/>
              </w:rPr>
            </w:r>
            <w:r>
              <w:rPr>
                <w:b/>
              </w:rPr>
              <w:t>Definition</w:t>
            </w:r>
          </w:p>
        </w:tc>
      </w:tr>
      <w:tr>
        <w:tc>
          <w:tcPr>
            <w:tcW w:type="dxa" w:w="5040"/>
            <w:vAlign w:val="center"/>
          </w:tcPr>
          <w:p>
            <w:r/>
            <w:r>
              <w:t>Alert-to-decision time</w:t>
            </w:r>
          </w:p>
        </w:tc>
        <w:tc>
          <w:tcPr>
            <w:tcW w:type="dxa" w:w="5040"/>
            <w:vAlign w:val="center"/>
          </w:tcPr>
          <w:p>
            <w:r/>
            <w:r>
              <w:t>Time from a trusted condition event to a recorded authorized decision</w:t>
            </w:r>
          </w:p>
        </w:tc>
      </w:tr>
      <w:tr>
        <w:tc>
          <w:tcPr>
            <w:tcW w:type="dxa" w:w="5040"/>
            <w:vAlign w:val="center"/>
          </w:tcPr>
          <w:p>
            <w:r/>
            <w:r>
              <w:t>Decision acceptance</w:t>
            </w:r>
          </w:p>
        </w:tc>
        <w:tc>
          <w:tcPr>
            <w:tcW w:type="dxa" w:w="5040"/>
            <w:vAlign w:val="center"/>
          </w:tcPr>
          <w:p>
            <w:r/>
            <w:r>
              <w:t>Approved recommendations as a proportion of eligible recommendations</w:t>
            </w:r>
          </w:p>
        </w:tc>
      </w:tr>
      <w:tr>
        <w:tc>
          <w:tcPr>
            <w:tcW w:type="dxa" w:w="5040"/>
            <w:vAlign w:val="center"/>
          </w:tcPr>
          <w:p>
            <w:r/>
            <w:r>
              <w:t>Unsupported-action rate</w:t>
            </w:r>
          </w:p>
        </w:tc>
        <w:tc>
          <w:tcPr>
            <w:tcW w:type="dxa" w:w="5040"/>
            <w:vAlign w:val="center"/>
          </w:tcPr>
          <w:p>
            <w:r/>
            <w:r>
              <w:t>Recommendations rejected for diagnosis or procedure concerns</w:t>
            </w:r>
          </w:p>
        </w:tc>
      </w:tr>
      <w:tr>
        <w:tc>
          <w:tcPr>
            <w:tcW w:type="dxa" w:w="5040"/>
            <w:vAlign w:val="center"/>
          </w:tcPr>
          <w:p>
            <w:r/>
            <w:r>
              <w:t>RUL-window compliance</w:t>
            </w:r>
          </w:p>
        </w:tc>
        <w:tc>
          <w:tcPr>
            <w:tcW w:type="dxa" w:w="5040"/>
            <w:vAlign w:val="center"/>
          </w:tcPr>
          <w:p>
            <w:r/>
            <w:r>
              <w:t>Approved work completed before the minimum assessed RUL date</w:t>
            </w:r>
          </w:p>
        </w:tc>
      </w:tr>
      <w:tr>
        <w:tc>
          <w:tcPr>
            <w:tcW w:type="dxa" w:w="5040"/>
            <w:vAlign w:val="center"/>
          </w:tcPr>
          <w:p>
            <w:r/>
            <w:r>
              <w:t>Planned versus unplanned intervention</w:t>
            </w:r>
          </w:p>
        </w:tc>
        <w:tc>
          <w:tcPr>
            <w:tcW w:type="dxa" w:w="5040"/>
            <w:vAlign w:val="center"/>
          </w:tcPr>
          <w:p>
            <w:r/>
            <w:r>
              <w:t>Shift in work from reactive to controlled maintenance</w:t>
            </w:r>
          </w:p>
        </w:tc>
      </w:tr>
      <w:tr>
        <w:tc>
          <w:tcPr>
            <w:tcW w:type="dxa" w:w="5040"/>
            <w:vAlign w:val="center"/>
          </w:tcPr>
          <w:p>
            <w:r/>
            <w:r>
              <w:t>Information-quality rate</w:t>
            </w:r>
          </w:p>
        </w:tc>
        <w:tc>
          <w:tcPr>
            <w:tcW w:type="dxa" w:w="5040"/>
            <w:vAlign w:val="center"/>
          </w:tcPr>
          <w:p>
            <w:r/>
            <w:r>
              <w:t>Accepted, reviewed and rejected events by source and asset class</w:t>
            </w:r>
          </w:p>
        </w:tc>
      </w:tr>
      <w:tr>
        <w:tc>
          <w:tcPr>
            <w:tcW w:type="dxa" w:w="5040"/>
            <w:vAlign w:val="center"/>
          </w:tcPr>
          <w:p>
            <w:r/>
            <w:r>
              <w:t>Guidance coverage</w:t>
            </w:r>
          </w:p>
        </w:tc>
        <w:tc>
          <w:tcPr>
            <w:tcW w:type="dxa" w:w="5040"/>
            <w:vAlign w:val="center"/>
          </w:tcPr>
          <w:p>
            <w:r/>
            <w:r>
              <w:t>Eligible cases supported by an identified procedure or validated case</w:t>
            </w:r>
          </w:p>
        </w:tc>
      </w:tr>
      <w:tr>
        <w:tc>
          <w:tcPr>
            <w:tcW w:type="dxa" w:w="5040"/>
            <w:vAlign w:val="center"/>
          </w:tcPr>
          <w:p>
            <w:r/>
            <w:r>
              <w:t>Learning closure</w:t>
            </w:r>
          </w:p>
        </w:tc>
        <w:tc>
          <w:tcPr>
            <w:tcW w:type="dxa" w:w="5040"/>
            <w:vAlign w:val="center"/>
          </w:tcPr>
          <w:p>
            <w:r/>
            <w:r>
              <w:t>Completed interventions converted into validated lessons</w:t>
            </w:r>
          </w:p>
        </w:tc>
      </w:tr>
      <w:tr>
        <w:tc>
          <w:tcPr>
            <w:tcW w:type="dxa" w:w="5040"/>
            <w:vAlign w:val="center"/>
          </w:tcPr>
          <w:p>
            <w:r/>
            <w:r>
              <w:t>Escalation response</w:t>
            </w:r>
          </w:p>
        </w:tc>
        <w:tc>
          <w:tcPr>
            <w:tcW w:type="dxa" w:w="5040"/>
            <w:vAlign w:val="center"/>
          </w:tcPr>
          <w:p>
            <w:r/>
            <w:r>
              <w:t>Time from escalation to the next authorized decision</w:t>
            </w:r>
          </w:p>
        </w:tc>
      </w:tr>
      <w:tr>
        <w:tc>
          <w:tcPr>
            <w:tcW w:type="dxa" w:w="5040"/>
            <w:vAlign w:val="center"/>
          </w:tcPr>
          <w:p>
            <w:r/>
            <w:r>
              <w:t>Role effectiveness</w:t>
            </w:r>
          </w:p>
        </w:tc>
        <w:tc>
          <w:tcPr>
            <w:tcW w:type="dxa" w:w="5040"/>
            <w:vAlign w:val="center"/>
          </w:tcPr>
          <w:p>
            <w:r/>
            <w:r>
              <w:t>Decision time and usefulness rating by persona</w:t>
            </w:r>
          </w:p>
        </w:tc>
      </w:tr>
    </w:tbl>
    <w:p>
      <w:r>
        <w:t>Financial value should be reported only after the underlying figures have been approved and reconciled with the organization’s financial systems.</w:t>
      </w:r>
    </w:p>
    <w:p>
      <w:pPr>
        <w:pStyle w:val="Heading2"/>
      </w:pPr>
      <w:r>
        <w:t>13. Policy ownership and change control</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Pr>
                <w:b/>
              </w:rPr>
            </w:r>
            <w:r>
              <w:rPr>
                <w:b/>
              </w:rPr>
              <w:t>Policy area</w:t>
            </w:r>
          </w:p>
        </w:tc>
        <w:tc>
          <w:tcPr>
            <w:tcW w:type="dxa" w:w="5040"/>
            <w:vAlign w:val="center"/>
            <w:shd w:fill="D9EAF7"/>
          </w:tcPr>
          <w:p>
            <w:r>
              <w:rPr>
                <w:b/>
              </w:rPr>
            </w:r>
            <w:r>
              <w:rPr>
                <w:b/>
              </w:rPr>
              <w:t>Recommended owner</w:t>
            </w:r>
          </w:p>
        </w:tc>
      </w:tr>
      <w:tr>
        <w:tc>
          <w:tcPr>
            <w:tcW w:type="dxa" w:w="5040"/>
            <w:vAlign w:val="center"/>
          </w:tcPr>
          <w:p>
            <w:r/>
            <w:r>
              <w:t>Information quality and asset mapping</w:t>
            </w:r>
          </w:p>
        </w:tc>
        <w:tc>
          <w:tcPr>
            <w:tcW w:type="dxa" w:w="5040"/>
            <w:vAlign w:val="center"/>
          </w:tcPr>
          <w:p>
            <w:r/>
            <w:r>
              <w:t>OT / Controls and Reliability Engineering</w:t>
            </w:r>
          </w:p>
        </w:tc>
      </w:tr>
      <w:tr>
        <w:tc>
          <w:tcPr>
            <w:tcW w:type="dxa" w:w="5040"/>
            <w:vAlign w:val="center"/>
          </w:tcPr>
          <w:p>
            <w:r/>
            <w:r>
              <w:t>Condition thresholds and RUL</w:t>
            </w:r>
          </w:p>
        </w:tc>
        <w:tc>
          <w:tcPr>
            <w:tcW w:type="dxa" w:w="5040"/>
            <w:vAlign w:val="center"/>
          </w:tcPr>
          <w:p>
            <w:r/>
            <w:r>
              <w:t>Reliability Engineering</w:t>
            </w:r>
          </w:p>
        </w:tc>
      </w:tr>
      <w:tr>
        <w:tc>
          <w:tcPr>
            <w:tcW w:type="dxa" w:w="5040"/>
            <w:vAlign w:val="center"/>
          </w:tcPr>
          <w:p>
            <w:r/>
            <w:r>
              <w:t>Maintenance action and duration</w:t>
            </w:r>
          </w:p>
        </w:tc>
        <w:tc>
          <w:tcPr>
            <w:tcW w:type="dxa" w:w="5040"/>
            <w:vAlign w:val="center"/>
          </w:tcPr>
          <w:p>
            <w:r/>
            <w:r>
              <w:t>Maintenance Planning and Operations</w:t>
            </w:r>
          </w:p>
        </w:tc>
      </w:tr>
      <w:tr>
        <w:tc>
          <w:tcPr>
            <w:tcW w:type="dxa" w:w="5040"/>
            <w:vAlign w:val="center"/>
          </w:tcPr>
          <w:p>
            <w:r/>
            <w:r>
              <w:t>Procedure, isolation and compliance</w:t>
            </w:r>
          </w:p>
        </w:tc>
        <w:tc>
          <w:tcPr>
            <w:tcW w:type="dxa" w:w="5040"/>
            <w:vAlign w:val="center"/>
          </w:tcPr>
          <w:p>
            <w:r/>
            <w:r>
              <w:t>Safety and the controlled-document owner</w:t>
            </w:r>
          </w:p>
        </w:tc>
      </w:tr>
      <w:tr>
        <w:tc>
          <w:tcPr>
            <w:tcW w:type="dxa" w:w="5040"/>
            <w:vAlign w:val="center"/>
          </w:tcPr>
          <w:p>
            <w:r/>
            <w:r>
              <w:t>Cost and authority</w:t>
            </w:r>
          </w:p>
        </w:tc>
        <w:tc>
          <w:tcPr>
            <w:tcW w:type="dxa" w:w="5040"/>
            <w:vAlign w:val="center"/>
          </w:tcPr>
          <w:p>
            <w:r/>
            <w:r>
              <w:t>Plant Management, Finance and Operations leadership</w:t>
            </w:r>
          </w:p>
        </w:tc>
      </w:tr>
      <w:tr>
        <w:tc>
          <w:tcPr>
            <w:tcW w:type="dxa" w:w="5040"/>
            <w:vAlign w:val="center"/>
          </w:tcPr>
          <w:p>
            <w:r/>
            <w:r>
              <w:t>Role permissions and escalation</w:t>
            </w:r>
          </w:p>
        </w:tc>
        <w:tc>
          <w:tcPr>
            <w:tcW w:type="dxa" w:w="5040"/>
            <w:vAlign w:val="center"/>
          </w:tcPr>
          <w:p>
            <w:r/>
            <w:r>
              <w:t>Operations leadership and Security</w:t>
            </w:r>
          </w:p>
        </w:tc>
      </w:tr>
      <w:tr>
        <w:tc>
          <w:tcPr>
            <w:tcW w:type="dxa" w:w="5040"/>
            <w:vAlign w:val="center"/>
          </w:tcPr>
          <w:p>
            <w:r/>
            <w:r>
              <w:t>Learned-case acceptance</w:t>
            </w:r>
          </w:p>
        </w:tc>
        <w:tc>
          <w:tcPr>
            <w:tcW w:type="dxa" w:w="5040"/>
            <w:vAlign w:val="center"/>
          </w:tcPr>
          <w:p>
            <w:r/>
            <w:r>
              <w:t>Reliability Engineering and Data Governance</w:t>
            </w:r>
          </w:p>
        </w:tc>
      </w:tr>
    </w:tbl>
    <w:p>
      <w:r>
        <w:t>Any change to a threshold, authority, cost, RUL value, action policy or procedure should identify its business owner, rationale, effective date and validation evidence. The same change should then be reflected in user guidance and decision assurance.</w:t>
      </w:r>
    </w:p>
    <w:p>
      <w:pPr>
        <w:pStyle w:val="Heading2"/>
      </w:pPr>
      <w:r>
        <w:t>14. Brief future direction</w:t>
      </w:r>
    </w:p>
    <w:p>
      <w:r>
        <w:t>The next phase will broaden enterprise connectivity and organizational coverage while retaining the current evidence, authorization and audit principles. Business parameters will continue to be calibrated through controlled operating experience and approved governance.</w:t>
      </w:r>
    </w:p>
    <w:p>
      <w:pPr>
        <w:pStyle w:val="Heading2"/>
      </w:pPr>
      <w:r>
        <w:t>15. Conclusion</w:t>
      </w:r>
    </w:p>
    <w:p>
      <w:r>
        <w:t>The Downtime Response Orchestrator establishes a common, evidence-led method for turning condition information into an accountable maintenance response. It supports each role with the context required for its decision, preserves human authority at material control points and converts confirmed outcomes into reusable organizational knowledge.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Downtime Response Orchestrator | Client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45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4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 Business Documentation</dc:title>
  <dc:subject/>
  <dc:creator>Downtime Response Orchestrator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