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Downtime Response Orchestrator (DRO)</w:t>
      </w:r>
    </w:p>
    <w:p>
      <w:pPr>
        <w:pStyle w:val="Heading2"/>
      </w:pPr>
      <w:r>
        <w:t>Business and Operational Documentation</w:t>
      </w:r>
    </w:p>
    <w:p>
      <w:r>
        <w:rPr>
          <w:b/>
        </w:rPr>
        <w:t>Document version:</w:t>
      </w:r>
      <w:r>
        <w:t xml:space="preserve"> 1.0 </w:t>
      </w:r>
      <w:r>
        <w:rPr>
          <w:b/>
        </w:rPr>
        <w:t>Code baseline:</w:t>
      </w:r>
      <w:r>
        <w:t xml:space="preserve"> </w:t>
      </w:r>
      <w:r>
        <w:rPr>
          <w:rFonts w:ascii="Consolas" w:hAnsi="Consolas"/>
          <w:color w:val="1F4E79"/>
          <w:sz w:val="18"/>
        </w:rPr>
        <w:t>AnshikaUpadhyay0109/DRO</w:t>
      </w:r>
      <w:r>
        <w:t xml:space="preserve">, branch </w:t>
      </w:r>
      <w:r>
        <w:rPr>
          <w:rFonts w:ascii="Consolas" w:hAnsi="Consolas"/>
          <w:color w:val="1F4E79"/>
          <w:sz w:val="18"/>
        </w:rPr>
        <w:t>dev</w:t>
      </w:r>
      <w:r>
        <w:t xml:space="preserve">, commit </w:t>
      </w:r>
      <w:r>
        <w:rPr>
          <w:rFonts w:ascii="Consolas" w:hAnsi="Consolas"/>
          <w:color w:val="1F4E79"/>
          <w:sz w:val="18"/>
        </w:rPr>
        <w:t>223a8ca</w:t>
      </w:r>
      <w:r>
        <w:t xml:space="preserve"> </w:t>
      </w:r>
      <w:r>
        <w:rPr>
          <w:b/>
        </w:rPr>
        <w:t>Prepared:</w:t>
      </w:r>
      <w:r>
        <w:t xml:space="preserve"> 26 August 2026</w:t>
      </w:r>
    </w:p>
    <w:p>
      <w:pPr>
        <w:pStyle w:val="Heading2"/>
      </w:pPr>
      <w:r>
        <w:t>1. Executive summary</w:t>
      </w:r>
    </w:p>
    <w:p>
      <w:r>
        <w:t>The Downtime Response Orchestrator supports faster, safer and more consistent decisions for bearing-related equipment risk. It connects condition-monitoring evidence to an operational response:</w:t>
      </w:r>
    </w:p>
    <w:p>
      <w:pPr>
        <w:pStyle w:val="CodeBlock"/>
        <w:shd w:fill="F3F4F6"/>
      </w:pPr>
      <w:r>
        <w:t>Is the data trustworthy?</w:t>
        <w:br/>
        <w:t xml:space="preserve">  -&gt; Is the equipment behaving abnormally?</w:t>
        <w:br/>
        <w:t xml:space="preserve">  -&gt; What fault is most likely?</w:t>
        <w:br/>
        <w:t xml:space="preserve">  -&gt; How urgent is it and what is the RUL?</w:t>
        <w:br/>
        <w:t xml:space="preserve">  -&gt; What approved procedure applies?</w:t>
        <w:br/>
        <w:t xml:space="preserve">  -&gt; What action is feasible?</w:t>
        <w:br/>
        <w:t xml:space="preserve">  -&gt; Who must approve it?</w:t>
        <w:br/>
        <w:t xml:space="preserve">  -&gt; Was the work executed?</w:t>
        <w:br/>
        <w:t xml:space="preserve">  -&gt; What did the plant learn?</w:t>
      </w:r>
    </w:p>
    <w:p>
      <w:r>
        <w:t>The current product is a development/pilot implementation. All eight agents, the orchestrator, chat API, persona-specific responses, human decision cards, bounded response reflection, local RAG, optional Azure AI Search, optional LLM enhancement, PostgreSQL HITL/checkpoint integration and observability hooks are implemented. Production historian, CMMS/EAM, inventory, notifications, enterprise authorization and durable escalation scheduling remain future integration work.</w:t>
      </w:r>
    </w:p>
    <w:p>
      <w:r>
        <w:t>The system does not allow a language model to approve work, invent telemetry, change deterministic RUL calculations or turn an unverified user statement into a learned plant fact.</w:t>
      </w:r>
    </w:p>
    <w:p>
      <w:pPr>
        <w:pStyle w:val="Heading2"/>
      </w:pPr>
      <w:r>
        <w:t>2. Business problem addressed</w:t>
      </w:r>
    </w:p>
    <w:p>
      <w:r>
        <w:t>Predictive-maintenance teams often have separate tools for sensor data, analysis, procedures, work orders and incident learning. The practical result is slow decision-making and inconsistent handoffs:</w:t>
      </w:r>
    </w:p>
    <w:p>
      <w:pPr>
        <w:pStyle w:val="ListBullet"/>
      </w:pPr>
      <w:r>
        <w:t>Operations sees an alert but not the consequence of waiting.</w:t>
      </w:r>
    </w:p>
    <w:p>
      <w:pPr>
        <w:pStyle w:val="ListBullet"/>
      </w:pPr>
      <w:r>
        <w:t>Reliability sees detailed vibration evidence but not parts or production</w:t>
      </w:r>
    </w:p>
    <w:p>
      <w:r>
        <w:t>constraints.</w:t>
      </w:r>
    </w:p>
    <w:p>
      <w:pPr>
        <w:pStyle w:val="ListBullet"/>
      </w:pPr>
      <w:r>
        <w:t>Maintenance sees a proposed action but not the evidence or RUL window.</w:t>
      </w:r>
    </w:p>
    <w:p>
      <w:pPr>
        <w:pStyle w:val="ListBullet"/>
      </w:pPr>
      <w:r>
        <w:t>Safety receives the task too late or without the applicable procedure.</w:t>
      </w:r>
    </w:p>
    <w:p>
      <w:pPr>
        <w:pStyle w:val="ListBullet"/>
      </w:pPr>
      <w:r>
        <w:t>Managers receive cost figures without confidence or source context.</w:t>
      </w:r>
    </w:p>
    <w:p>
      <w:pPr>
        <w:pStyle w:val="ListBullet"/>
      </w:pPr>
      <w:r>
        <w:t>Closed cases are not converted into reusable, governed knowledge.</w:t>
      </w:r>
    </w:p>
    <w:p>
      <w:r>
        <w:t>DRO creates one evidence-linked flow while presenting the same verified case in the form each role needs.</w:t>
      </w:r>
    </w:p>
    <w:p>
      <w:pPr>
        <w:pStyle w:val="Heading2"/>
      </w:pPr>
      <w:r>
        <w:t>3. Intended business outcomes</w:t>
      </w:r>
    </w:p>
    <w:p>
      <w:r>
        <w:t>The product is designed to improve:</w:t>
      </w:r>
    </w:p>
    <w:p>
      <w:pPr>
        <w:pStyle w:val="ListNumber"/>
      </w:pPr>
      <w:r>
        <w:rPr>
          <w:b/>
        </w:rPr>
        <w:t>Time to decision:</w:t>
      </w:r>
      <w:r>
        <w:t xml:space="preserve"> reduce manual coordination from an alert to an approved</w:t>
      </w:r>
    </w:p>
    <w:p>
      <w:r>
        <w:t>response.</w:t>
      </w:r>
    </w:p>
    <w:p>
      <w:pPr>
        <w:pStyle w:val="ListNumber"/>
      </w:pPr>
      <w:r>
        <w:rPr>
          <w:b/>
        </w:rPr>
        <w:t>Avoided unplanned downtime:</w:t>
      </w:r>
      <w:r>
        <w:t xml:space="preserve"> act inside the RUL window when evidence and</w:t>
      </w:r>
    </w:p>
    <w:p>
      <w:r>
        <w:t>resources justify intervention.</w:t>
      </w:r>
    </w:p>
    <w:p>
      <w:pPr>
        <w:pStyle w:val="ListNumber"/>
      </w:pPr>
      <w:r>
        <w:rPr>
          <w:b/>
        </w:rPr>
        <w:t>Decision quality:</w:t>
      </w:r>
      <w:r>
        <w:t xml:space="preserve"> show the verdict, consequence, rationale, confidence,</w:t>
      </w:r>
    </w:p>
    <w:p>
      <w:r>
        <w:t>evidence and sources together.</w:t>
      </w:r>
    </w:p>
    <w:p>
      <w:pPr>
        <w:pStyle w:val="ListNumber"/>
      </w:pPr>
      <w:r>
        <w:rPr>
          <w:b/>
        </w:rPr>
        <w:t>Execution readiness:</w:t>
      </w:r>
      <w:r>
        <w:t xml:space="preserve"> connect the proposed action to parts, crew, safety,</w:t>
      </w:r>
    </w:p>
    <w:p>
      <w:r>
        <w:t>deadline and escalation information.</w:t>
      </w:r>
    </w:p>
    <w:p>
      <w:pPr>
        <w:pStyle w:val="ListNumber"/>
      </w:pPr>
      <w:r>
        <w:rPr>
          <w:b/>
        </w:rPr>
        <w:t>Governance:</w:t>
      </w:r>
      <w:r>
        <w:t xml:space="preserve"> ensure only relevant personas can approve or reject a human</w:t>
      </w:r>
    </w:p>
    <w:p>
      <w:r>
        <w:t>decision card.</w:t>
      </w:r>
    </w:p>
    <w:p>
      <w:pPr>
        <w:pStyle w:val="ListNumber"/>
      </w:pPr>
      <w:r>
        <w:rPr>
          <w:b/>
        </w:rPr>
        <w:t>Learning:</w:t>
      </w:r>
      <w:r>
        <w:t xml:space="preserve"> preserve validated outcomes so recent failures and lessons can</w:t>
      </w:r>
    </w:p>
    <w:p>
      <w:r>
        <w:t>be retrieved later.</w:t>
      </w:r>
    </w:p>
    <w:p>
      <w:pPr>
        <w:pStyle w:val="ListNumber"/>
      </w:pPr>
      <w:r>
        <w:rPr>
          <w:b/>
        </w:rPr>
        <w:t>Auditability:</w:t>
      </w:r>
      <w:r>
        <w:t xml:space="preserve"> retain the call path, configuration/provenance and human</w:t>
      </w:r>
    </w:p>
    <w:p>
      <w:r>
        <w:t>decisions without exposing raw exceptions or secrets.</w:t>
      </w:r>
    </w:p>
    <w:p>
      <w:r>
        <w:t>These outcomes must be measured during a shadow pilot. Demo cost avoidance is not a production ROI claim.</w:t>
      </w:r>
    </w:p>
    <w:p>
      <w:pPr>
        <w:pStyle w:val="Heading2"/>
      </w:pPr>
      <w:r>
        <w:t>4. What the system does today</w:t>
      </w:r>
    </w:p>
    <w:p>
      <w:pPr>
        <w:pStyle w:val="Heading3"/>
      </w:pPr>
      <w:r>
        <w:t>Implemented</w:t>
      </w:r>
    </w:p>
    <w:p>
      <w:pPr>
        <w:pStyle w:val="ListBullet"/>
      </w:pPr>
      <w:r>
        <w:t>Validates and normalizes bearing telemetry.</w:t>
      </w:r>
    </w:p>
    <w:p>
      <w:pPr>
        <w:pStyle w:val="ListBullet"/>
      </w:pPr>
      <w:r>
        <w:t>Detects point anomalies and gradual drift.</w:t>
      </w:r>
    </w:p>
    <w:p>
      <w:pPr>
        <w:pStyle w:val="ListBullet"/>
      </w:pPr>
      <w:r>
        <w:t>Diagnoses supported bearing fault signatures and ISO stages.</w:t>
      </w:r>
    </w:p>
    <w:p>
      <w:pPr>
        <w:pStyle w:val="ListBullet"/>
      </w:pPr>
      <w:r>
        <w:t>Estimates RUL, failure probability, health and financial exposure.</w:t>
      </w:r>
    </w:p>
    <w:p>
      <w:pPr>
        <w:pStyle w:val="ListBullet"/>
      </w:pPr>
      <w:r>
        <w:t>Retrieves cited SOP and learned-case content.</w:t>
      </w:r>
    </w:p>
    <w:p>
      <w:pPr>
        <w:pStyle w:val="ListBullet"/>
      </w:pPr>
      <w:r>
        <w:t>Recommends constrained, explainable maintenance actions.</w:t>
      </w:r>
    </w:p>
    <w:p>
      <w:pPr>
        <w:pStyle w:val="ListBullet"/>
      </w:pPr>
      <w:r>
        <w:t>Provides decision-support and four-step execution trace content.</w:t>
      </w:r>
    </w:p>
    <w:p>
      <w:pPr>
        <w:pStyle w:val="ListBullet"/>
      </w:pPr>
      <w:r>
        <w:t>Restricts HITL controls by persona while allowing read-only evidence views.</w:t>
      </w:r>
    </w:p>
    <w:p>
      <w:pPr>
        <w:pStyle w:val="ListBullet"/>
      </w:pPr>
      <w:r>
        <w:t>Executes approved recommendations through mock service adapters.</w:t>
      </w:r>
    </w:p>
    <w:p>
      <w:pPr>
        <w:pStyle w:val="ListBullet"/>
      </w:pPr>
      <w:r>
        <w:t>Learns from completed work plus validated technician feedback.</w:t>
      </w:r>
    </w:p>
    <w:p>
      <w:pPr>
        <w:pStyle w:val="ListBullet"/>
      </w:pPr>
      <w:r>
        <w:t>Answers approved conceptual questions without requiring an asset ID.</w:t>
      </w:r>
    </w:p>
    <w:p>
      <w:pPr>
        <w:pStyle w:val="ListBullet"/>
      </w:pPr>
      <w:r>
        <w:t>Requests clarification rather than fabricating missing asset or fleet facts.</w:t>
      </w:r>
    </w:p>
    <w:p>
      <w:pPr>
        <w:pStyle w:val="ListBullet"/>
      </w:pPr>
      <w:r>
        <w:t>Handles multi-asset questions independently per asset.</w:t>
      </w:r>
    </w:p>
    <w:p>
      <w:pPr>
        <w:pStyle w:val="ListBullet"/>
      </w:pPr>
      <w:r>
        <w:t>Produces persona-specific responses for seven roles.</w:t>
      </w:r>
    </w:p>
    <w:p>
      <w:pPr>
        <w:pStyle w:val="Heading3"/>
      </w:pPr>
      <w:r>
        <w:t>Not yet production-complete</w:t>
      </w:r>
    </w:p>
    <w:p>
      <w:pPr>
        <w:pStyle w:val="ListBullet"/>
      </w:pPr>
      <w:r>
        <w:t>Live historian/OPC-UA/Event Hub ingestion adapters.</w:t>
      </w:r>
    </w:p>
    <w:p>
      <w:pPr>
        <w:pStyle w:val="ListBullet"/>
      </w:pPr>
      <w:r>
        <w:t>Real CMMS/EAM work-order creation.</w:t>
      </w:r>
    </w:p>
    <w:p>
      <w:pPr>
        <w:pStyle w:val="ListBullet"/>
      </w:pPr>
      <w:r>
        <w:t>Real ERP/MRO parts and labour data.</w:t>
      </w:r>
    </w:p>
    <w:p>
      <w:pPr>
        <w:pStyle w:val="ListBullet"/>
      </w:pPr>
      <w:r>
        <w:t>Enterprise notifications and durable escalation scheduler.</w:t>
      </w:r>
    </w:p>
    <w:p>
      <w:pPr>
        <w:pStyle w:val="ListBullet"/>
      </w:pPr>
      <w:r>
        <w:t>Full enterprise RBAC/SSO authorization for every action.</w:t>
      </w:r>
    </w:p>
    <w:p>
      <w:pPr>
        <w:pStyle w:val="ListBullet"/>
      </w:pPr>
      <w:r>
        <w:t>Production-wide PostgreSQL/domain storage and scale-out EWMA state.</w:t>
      </w:r>
    </w:p>
    <w:p>
      <w:pPr>
        <w:pStyle w:val="ListBullet"/>
      </w:pPr>
      <w:r>
        <w:t>Approved plant economics and authority policy.</w:t>
      </w:r>
    </w:p>
    <w:p>
      <w:pPr>
        <w:pStyle w:val="ListBullet"/>
      </w:pPr>
      <w:r>
        <w:t>Completed Azure RAG operational validation and document governance.</w:t>
      </w:r>
    </w:p>
    <w:p>
      <w:pPr>
        <w:pStyle w:val="ListBullet"/>
      </w:pPr>
      <w:r>
        <w:t>Production CI/E2E coverage, retention policy and shadow pilot.</w:t>
      </w:r>
    </w:p>
    <w:p>
      <w:pPr>
        <w:pStyle w:val="Heading2"/>
      </w:pPr>
      <w:r>
        <w:t>5. The eight-agent business flow</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vAlign w:val="center"/>
            <w:shd w:fill="D9EAF7"/>
          </w:tcPr>
          <w:p>
            <w:r>
              <w:rPr>
                <w:b/>
              </w:rPr>
            </w:r>
            <w:r>
              <w:rPr>
                <w:b/>
              </w:rPr>
              <w:t>Step</w:t>
            </w:r>
          </w:p>
        </w:tc>
        <w:tc>
          <w:tcPr>
            <w:tcW w:type="dxa" w:w="2520"/>
            <w:vAlign w:val="center"/>
            <w:shd w:fill="D9EAF7"/>
          </w:tcPr>
          <w:p>
            <w:r>
              <w:rPr>
                <w:b/>
              </w:rPr>
            </w:r>
            <w:r>
              <w:rPr>
                <w:b/>
              </w:rPr>
              <w:t>Agent</w:t>
            </w:r>
          </w:p>
        </w:tc>
        <w:tc>
          <w:tcPr>
            <w:tcW w:type="dxa" w:w="2520"/>
            <w:vAlign w:val="center"/>
            <w:shd w:fill="D9EAF7"/>
          </w:tcPr>
          <w:p>
            <w:r>
              <w:rPr>
                <w:b/>
              </w:rPr>
            </w:r>
            <w:r>
              <w:rPr>
                <w:b/>
              </w:rPr>
              <w:t>Business question</w:t>
            </w:r>
          </w:p>
        </w:tc>
        <w:tc>
          <w:tcPr>
            <w:tcW w:type="dxa" w:w="2520"/>
            <w:vAlign w:val="center"/>
            <w:shd w:fill="D9EAF7"/>
          </w:tcPr>
          <w:p>
            <w:r>
              <w:rPr>
                <w:b/>
              </w:rPr>
            </w:r>
            <w:r>
              <w:rPr>
                <w:b/>
              </w:rPr>
              <w:t>Key outcome</w:t>
            </w:r>
          </w:p>
        </w:tc>
      </w:tr>
      <w:tr>
        <w:tc>
          <w:tcPr>
            <w:tcW w:type="dxa" w:w="2520"/>
            <w:vAlign w:val="center"/>
          </w:tcPr>
          <w:p>
            <w:r/>
            <w:r>
              <w:t>1</w:t>
            </w:r>
          </w:p>
        </w:tc>
        <w:tc>
          <w:tcPr>
            <w:tcW w:type="dxa" w:w="2520"/>
            <w:vAlign w:val="center"/>
          </w:tcPr>
          <w:p>
            <w:r/>
            <w:r>
              <w:t>Data Foundation</w:t>
            </w:r>
          </w:p>
        </w:tc>
        <w:tc>
          <w:tcPr>
            <w:tcW w:type="dxa" w:w="2520"/>
            <w:vAlign w:val="center"/>
          </w:tcPr>
          <w:p>
            <w:r/>
            <w:r>
              <w:t>Can this event be trusted and mapped?</w:t>
            </w:r>
          </w:p>
        </w:tc>
        <w:tc>
          <w:tcPr>
            <w:tcW w:type="dxa" w:w="2520"/>
            <w:vAlign w:val="center"/>
          </w:tcPr>
          <w:p>
            <w:r/>
            <w:r>
              <w:t>Valid, review or reject</w:t>
            </w:r>
          </w:p>
        </w:tc>
      </w:tr>
      <w:tr>
        <w:tc>
          <w:tcPr>
            <w:tcW w:type="dxa" w:w="2520"/>
            <w:vAlign w:val="center"/>
          </w:tcPr>
          <w:p>
            <w:r/>
            <w:r>
              <w:t>2</w:t>
            </w:r>
          </w:p>
        </w:tc>
        <w:tc>
          <w:tcPr>
            <w:tcW w:type="dxa" w:w="2520"/>
            <w:vAlign w:val="center"/>
          </w:tcPr>
          <w:p>
            <w:r/>
            <w:r>
              <w:t>Monitoring</w:t>
            </w:r>
          </w:p>
        </w:tc>
        <w:tc>
          <w:tcPr>
            <w:tcW w:type="dxa" w:w="2520"/>
            <w:vAlign w:val="center"/>
          </w:tcPr>
          <w:p>
            <w:r/>
            <w:r>
              <w:t>Is behaviour abnormal in the current regime?</w:t>
            </w:r>
          </w:p>
        </w:tc>
        <w:tc>
          <w:tcPr>
            <w:tcW w:type="dxa" w:w="2520"/>
            <w:vAlign w:val="center"/>
          </w:tcPr>
          <w:p>
            <w:r/>
            <w:r>
              <w:t>Healthy, anomaly, suppressed or uncertain</w:t>
            </w:r>
          </w:p>
        </w:tc>
      </w:tr>
      <w:tr>
        <w:tc>
          <w:tcPr>
            <w:tcW w:type="dxa" w:w="2520"/>
            <w:vAlign w:val="center"/>
          </w:tcPr>
          <w:p>
            <w:r/>
            <w:r>
              <w:t>3</w:t>
            </w:r>
          </w:p>
        </w:tc>
        <w:tc>
          <w:tcPr>
            <w:tcW w:type="dxa" w:w="2520"/>
            <w:vAlign w:val="center"/>
          </w:tcPr>
          <w:p>
            <w:r/>
            <w:r>
              <w:t>Failure Intelligence</w:t>
            </w:r>
          </w:p>
        </w:tc>
        <w:tc>
          <w:tcPr>
            <w:tcW w:type="dxa" w:w="2520"/>
            <w:vAlign w:val="center"/>
          </w:tcPr>
          <w:p>
            <w:r/>
            <w:r>
              <w:t>What fault and severity best match the evidence?</w:t>
            </w:r>
          </w:p>
        </w:tc>
        <w:tc>
          <w:tcPr>
            <w:tcW w:type="dxa" w:w="2520"/>
            <w:vAlign w:val="center"/>
          </w:tcPr>
          <w:p>
            <w:r/>
            <w:r>
              <w:t>Diagnosed or undetermined</w:t>
            </w:r>
          </w:p>
        </w:tc>
      </w:tr>
      <w:tr>
        <w:tc>
          <w:tcPr>
            <w:tcW w:type="dxa" w:w="2520"/>
            <w:vAlign w:val="center"/>
          </w:tcPr>
          <w:p>
            <w:r/>
            <w:r>
              <w:t>4</w:t>
            </w:r>
          </w:p>
        </w:tc>
        <w:tc>
          <w:tcPr>
            <w:tcW w:type="dxa" w:w="2520"/>
            <w:vAlign w:val="center"/>
          </w:tcPr>
          <w:p>
            <w:r/>
            <w:r>
              <w:t>Predictive Risk</w:t>
            </w:r>
          </w:p>
        </w:tc>
        <w:tc>
          <w:tcPr>
            <w:tcW w:type="dxa" w:w="2520"/>
            <w:vAlign w:val="center"/>
          </w:tcPr>
          <w:p>
            <w:r/>
            <w:r>
              <w:t>How much time and consequence are involved?</w:t>
            </w:r>
          </w:p>
        </w:tc>
        <w:tc>
          <w:tcPr>
            <w:tcW w:type="dxa" w:w="2520"/>
            <w:vAlign w:val="center"/>
          </w:tcPr>
          <w:p>
            <w:r/>
            <w:r>
              <w:t>RUL, probability, risk and exposure</w:t>
            </w:r>
          </w:p>
        </w:tc>
      </w:tr>
      <w:tr>
        <w:tc>
          <w:tcPr>
            <w:tcW w:type="dxa" w:w="2520"/>
            <w:vAlign w:val="center"/>
          </w:tcPr>
          <w:p>
            <w:r/>
            <w:r>
              <w:t>5</w:t>
            </w:r>
          </w:p>
        </w:tc>
        <w:tc>
          <w:tcPr>
            <w:tcW w:type="dxa" w:w="2520"/>
            <w:vAlign w:val="center"/>
          </w:tcPr>
          <w:p>
            <w:r/>
            <w:r>
              <w:t>Knowledge/RAG</w:t>
            </w:r>
          </w:p>
        </w:tc>
        <w:tc>
          <w:tcPr>
            <w:tcW w:type="dxa" w:w="2520"/>
            <w:vAlign w:val="center"/>
          </w:tcPr>
          <w:p>
            <w:r/>
            <w:r>
              <w:t>What approved procedure or case applies?</w:t>
            </w:r>
          </w:p>
        </w:tc>
        <w:tc>
          <w:tcPr>
            <w:tcW w:type="dxa" w:w="2520"/>
            <w:vAlign w:val="center"/>
          </w:tcPr>
          <w:p>
            <w:r/>
            <w:r>
              <w:t>Cited guidance or explicit no-guidance</w:t>
            </w:r>
          </w:p>
        </w:tc>
      </w:tr>
      <w:tr>
        <w:tc>
          <w:tcPr>
            <w:tcW w:type="dxa" w:w="2520"/>
            <w:vAlign w:val="center"/>
          </w:tcPr>
          <w:p>
            <w:r/>
            <w:r>
              <w:t>6</w:t>
            </w:r>
          </w:p>
        </w:tc>
        <w:tc>
          <w:tcPr>
            <w:tcW w:type="dxa" w:w="2520"/>
            <w:vAlign w:val="center"/>
          </w:tcPr>
          <w:p>
            <w:r/>
            <w:r>
              <w:t>Prescriptive Optimization</w:t>
            </w:r>
          </w:p>
        </w:tc>
        <w:tc>
          <w:tcPr>
            <w:tcW w:type="dxa" w:w="2520"/>
            <w:vAlign w:val="center"/>
          </w:tcPr>
          <w:p>
            <w:r/>
            <w:r>
              <w:t>What feasible action should be considered?</w:t>
            </w:r>
          </w:p>
        </w:tc>
        <w:tc>
          <w:tcPr>
            <w:tcW w:type="dxa" w:w="2520"/>
            <w:vAlign w:val="center"/>
          </w:tcPr>
          <w:p>
            <w:r/>
            <w:r>
              <w:t>Ranked action, rationale and decision support</w:t>
            </w:r>
          </w:p>
        </w:tc>
      </w:tr>
      <w:tr>
        <w:tc>
          <w:tcPr>
            <w:tcW w:type="dxa" w:w="2520"/>
            <w:vAlign w:val="center"/>
          </w:tcPr>
          <w:p>
            <w:r/>
            <w:r>
              <w:t>7</w:t>
            </w:r>
          </w:p>
        </w:tc>
        <w:tc>
          <w:tcPr>
            <w:tcW w:type="dxa" w:w="2520"/>
            <w:vAlign w:val="center"/>
          </w:tcPr>
          <w:p>
            <w:r/>
            <w:r>
              <w:t>Executor</w:t>
            </w:r>
          </w:p>
        </w:tc>
        <w:tc>
          <w:tcPr>
            <w:tcW w:type="dxa" w:w="2520"/>
            <w:vAlign w:val="center"/>
          </w:tcPr>
          <w:p>
            <w:r/>
            <w:r>
              <w:t>Can the approved action be carried out?</w:t>
            </w:r>
          </w:p>
        </w:tc>
        <w:tc>
          <w:tcPr>
            <w:tcW w:type="dxa" w:w="2520"/>
            <w:vAlign w:val="center"/>
          </w:tcPr>
          <w:p>
            <w:r/>
            <w:r>
              <w:t>Success, partial, blocked or failed execution</w:t>
            </w:r>
          </w:p>
        </w:tc>
      </w:tr>
      <w:tr>
        <w:tc>
          <w:tcPr>
            <w:tcW w:type="dxa" w:w="2520"/>
            <w:vAlign w:val="center"/>
          </w:tcPr>
          <w:p>
            <w:r/>
            <w:r>
              <w:t>8</w:t>
            </w:r>
          </w:p>
        </w:tc>
        <w:tc>
          <w:tcPr>
            <w:tcW w:type="dxa" w:w="2520"/>
            <w:vAlign w:val="center"/>
          </w:tcPr>
          <w:p>
            <w:r/>
            <w:r>
              <w:t>Learning and Memory</w:t>
            </w:r>
          </w:p>
        </w:tc>
        <w:tc>
          <w:tcPr>
            <w:tcW w:type="dxa" w:w="2520"/>
            <w:vAlign w:val="center"/>
          </w:tcPr>
          <w:p>
            <w:r/>
            <w:r>
              <w:t>What confirmed lesson can be reused?</w:t>
            </w:r>
          </w:p>
        </w:tc>
        <w:tc>
          <w:tcPr>
            <w:tcW w:type="dxa" w:w="2520"/>
            <w:vAlign w:val="center"/>
          </w:tcPr>
          <w:p>
            <w:r/>
            <w:r>
              <w:t>Validated learned case</w:t>
            </w:r>
          </w:p>
        </w:tc>
      </w:tr>
    </w:tbl>
    <w:p>
      <w:pPr>
        <w:spacing w:after="40"/>
      </w:pPr>
    </w:p>
    <w:p>
      <w:r>
        <w:t>Reflexion reviews the final communication for clarity and unsupported claims. It does not revise the technical decision.</w:t>
      </w:r>
    </w:p>
    <w:p>
      <w:pPr>
        <w:pStyle w:val="Heading3"/>
      </w:pPr>
      <w:r>
        <w:t>Why the system stops early</w:t>
      </w:r>
    </w:p>
    <w:p>
      <w:r>
        <w:t>Stopping early is an intentional safety feature:</w:t>
      </w:r>
    </w:p>
    <w:p>
      <w:pPr>
        <w:pStyle w:val="ListBullet"/>
      </w:pPr>
      <w:r>
        <w:t>Bad identity or unusable data must not produce a diagnosis.</w:t>
      </w:r>
    </w:p>
    <w:p>
      <w:pPr>
        <w:pStyle w:val="ListBullet"/>
      </w:pPr>
      <w:r>
        <w:t>Healthy or startup-suppressed equipment must not create unnecessary work.</w:t>
      </w:r>
    </w:p>
    <w:p>
      <w:pPr>
        <w:pStyle w:val="ListBullet"/>
      </w:pPr>
      <w:r>
        <w:t>An uncertain diagnosis must not be presented as a confirmed fault.</w:t>
      </w:r>
    </w:p>
    <w:p>
      <w:pPr>
        <w:pStyle w:val="ListBullet"/>
      </w:pPr>
      <w:r>
        <w:t>A recommendation without a cited procedure must not be treated as ready.</w:t>
      </w:r>
    </w:p>
    <w:p>
      <w:pPr>
        <w:pStyle w:val="ListBullet"/>
      </w:pPr>
      <w:r>
        <w:t>Work requiring approval must not execute because a user merely asked for it.</w:t>
      </w:r>
    </w:p>
    <w:p>
      <w:pPr>
        <w:pStyle w:val="ListBullet"/>
      </w:pPr>
      <w:r>
        <w:t>A failed or unconfirmed job must not become a positive learned case.</w:t>
      </w:r>
    </w:p>
    <w:p>
      <w:pPr>
        <w:pStyle w:val="Heading2"/>
      </w:pPr>
      <w:r>
        <w:t>6. The seven personas</w:t>
      </w:r>
    </w:p>
    <w:p>
      <w:r>
        <w:t>The same case evidence is formatted for seven approved personas. Persona affects headline, detail level, suggested next actions, tags and decision controls. It does not change measurements, fault classification, RUL, risk, sources or confidence.</w:t>
      </w:r>
    </w:p>
    <w:p>
      <w:pPr>
        <w:pStyle w:val="Heading3"/>
      </w:pPr>
      <w:r>
        <w:t>6.1 Plant Supervisor - James Kowalski</w:t>
      </w:r>
    </w:p>
    <w:p>
      <w:r>
        <w:rPr>
          <w:b/>
        </w:rPr>
        <w:t>Accountable for:</w:t>
      </w:r>
      <w:r>
        <w:t xml:space="preserve"> line-level run/defer decisions, operator briefing, crew availability, shift handover and escalation.</w:t>
      </w:r>
    </w:p>
    <w:p>
      <w:r>
        <w:rPr>
          <w:b/>
        </w:rPr>
        <w:t>Default focus:</w:t>
      </w:r>
      <w:r>
        <w:t xml:space="preserve"> RUL, severity, run/defer consequence, vibration, temperature and financial exposure. Detailed spectrum tables are suppressed.</w:t>
      </w:r>
    </w:p>
    <w:p>
      <w:r>
        <w:rPr>
          <w:b/>
        </w:rPr>
        <w:t>Typical response:</w:t>
      </w:r>
      <w:r>
        <w:t xml:space="preserve"> “M-121 has a Stage 2 outer-race fault, high risk and a 30-day RUL point estimate. Confirm a planned intervention and brief operators on symptoms to watch.”</w:t>
      </w:r>
    </w:p>
    <w:p>
      <w:r>
        <w:rPr>
          <w:b/>
        </w:rPr>
        <w:t>Configured authority:</w:t>
      </w:r>
      <w:r>
        <w:t xml:space="preserve"> USD 100,000.</w:t>
      </w:r>
    </w:p>
    <w:p>
      <w:pPr>
        <w:pStyle w:val="Heading3"/>
      </w:pPr>
      <w:r>
        <w:t>6.2 Reliability Engineer - Priya Nair</w:t>
      </w:r>
    </w:p>
    <w:p>
      <w:r>
        <w:rPr>
          <w:b/>
        </w:rPr>
        <w:t>Accountable for:</w:t>
      </w:r>
      <w:r>
        <w:t xml:space="preserve"> fault diagnosis, FFT analysis, RUL confidence, historical comparison and post-repair baseline definition.</w:t>
      </w:r>
    </w:p>
    <w:p>
      <w:r>
        <w:rPr>
          <w:b/>
        </w:rPr>
        <w:t>Default focus:</w:t>
      </w:r>
      <w:r>
        <w:t xml:space="preserve"> fault mode, BPFO/BPFI/BSF/FTF evidence, thresholds, matched taxonomy rule, RUL bounds, confidence and knowledge sources. No fields are suppressed by the persona configuration.</w:t>
      </w:r>
    </w:p>
    <w:p>
      <w:r>
        <w:rPr>
          <w:b/>
        </w:rPr>
        <w:t>Typical response:</w:t>
      </w:r>
      <w:r>
        <w:t xml:space="preserve"> “BPFO is the dominant evidence, the Stage 2 rule is crossed and kurtosis exceeds the required gate. Review harmonics and sidebands, then compare degradation with related learned cases.”</w:t>
      </w:r>
    </w:p>
    <w:p>
      <w:pPr>
        <w:pStyle w:val="Heading3"/>
      </w:pPr>
      <w:r>
        <w:t>6.3 Maintenance Planner - Tom Rodriguez</w:t>
      </w:r>
    </w:p>
    <w:p>
      <w:r>
        <w:rPr>
          <w:b/>
        </w:rPr>
        <w:t>Accountable for:</w:t>
      </w:r>
      <w:r>
        <w:t xml:space="preserve"> parts, crew, job pack, sequence, duration and maintenance window.</w:t>
      </w:r>
    </w:p>
    <w:p>
      <w:r>
        <w:rPr>
          <w:b/>
        </w:rPr>
        <w:t>Default focus:</w:t>
      </w:r>
      <w:r>
        <w:t xml:space="preserve"> action type, LOTO, SOP documents, resources and deadline. Detailed vibration-spectrum content is suppressed.</w:t>
      </w:r>
    </w:p>
    <w:p>
      <w:r>
        <w:rPr>
          <w:b/>
        </w:rPr>
        <w:t>Typical response:</w:t>
      </w:r>
      <w:r>
        <w:t xml:space="preserve"> “Confirm the bearing and certified crew, issue the SOP job pack and book the four-hour planned window before the RUL minimum.”</w:t>
      </w:r>
    </w:p>
    <w:p>
      <w:pPr>
        <w:pStyle w:val="Heading3"/>
      </w:pPr>
      <w:r>
        <w:t>6.4 Plant Manager - Sarah Chen</w:t>
      </w:r>
    </w:p>
    <w:p>
      <w:r>
        <w:rPr>
          <w:b/>
        </w:rPr>
        <w:t>Accountable for:</w:t>
      </w:r>
      <w:r>
        <w:t xml:space="preserve"> production/maintenance trade-off, cost-benefit, OEE impact, contingency and high-value approval.</w:t>
      </w:r>
    </w:p>
    <w:p>
      <w:r>
        <w:rPr>
          <w:b/>
        </w:rPr>
        <w:t>Default focus:</w:t>
      </w:r>
      <w:r>
        <w:t xml:space="preserve"> risk, planned versus deferred cost, net avoidance and authority. Sensor IDs and detailed spectra are suppressed.</w:t>
      </w:r>
    </w:p>
    <w:p>
      <w:r>
        <w:rPr>
          <w:b/>
        </w:rPr>
        <w:t>Configured authority:</w:t>
      </w:r>
      <w:r>
        <w:t xml:space="preserve"> USD 1,000,000.</w:t>
      </w:r>
    </w:p>
    <w:p>
      <w:r>
        <w:rPr>
          <w:b/>
        </w:rPr>
        <w:t>Important:</w:t>
      </w:r>
      <w:r>
        <w:t xml:space="preserve"> current costs are configured demo figures, not ERP/accounting facts.</w:t>
      </w:r>
    </w:p>
    <w:p>
      <w:pPr>
        <w:pStyle w:val="Heading3"/>
      </w:pPr>
      <w:r>
        <w:t>6.5 VP Operations - Michael Osei</w:t>
      </w:r>
    </w:p>
    <w:p>
      <w:r>
        <w:rPr>
          <w:b/>
        </w:rPr>
        <w:t>Accountable for:</w:t>
      </w:r>
      <w:r>
        <w:t xml:space="preserve"> portfolio risk, reliability KPIs, financial return, strategic investment and board communication. Alias </w:t>
      </w:r>
      <w:r>
        <w:rPr>
          <w:rFonts w:ascii="Consolas" w:hAnsi="Consolas"/>
          <w:color w:val="1F4E79"/>
          <w:sz w:val="18"/>
        </w:rPr>
        <w:t>md</w:t>
      </w:r>
      <w:r>
        <w:t xml:space="preserve"> maps to this persona.</w:t>
      </w:r>
    </w:p>
    <w:p>
      <w:r>
        <w:rPr>
          <w:b/>
        </w:rPr>
        <w:t>Default focus:</w:t>
      </w:r>
      <w:r>
        <w:t xml:space="preserve"> portfolio exposure, health index, failure probability and strategic action. Raw signals, sensor IDs and spectrum details are suppressed.</w:t>
      </w:r>
    </w:p>
    <w:p>
      <w:r>
        <w:rPr>
          <w:b/>
        </w:rPr>
        <w:t>Configured authority:</w:t>
      </w:r>
      <w:r>
        <w:t xml:space="preserve"> USD 5,000,000.</w:t>
      </w:r>
    </w:p>
    <w:p>
      <w:pPr>
        <w:pStyle w:val="Heading3"/>
      </w:pPr>
      <w:r>
        <w:t>6.6 OT / Controls - Raj Iyer</w:t>
      </w:r>
    </w:p>
    <w:p>
      <w:r>
        <w:rPr>
          <w:b/>
        </w:rPr>
        <w:t>Accountable for:</w:t>
      </w:r>
      <w:r>
        <w:t xml:space="preserve"> signal quality, sensor integrity, historian coverage, baseline configuration and integration health.</w:t>
      </w:r>
    </w:p>
    <w:p>
      <w:r>
        <w:rPr>
          <w:b/>
        </w:rPr>
        <w:t>Default focus:</w:t>
      </w:r>
      <w:r>
        <w:t xml:space="preserve"> validation status, data-quality score, current signals, dropouts and system integration. No fields are suppressed.</w:t>
      </w:r>
    </w:p>
    <w:p>
      <w:pPr>
        <w:pStyle w:val="Heading3"/>
      </w:pPr>
      <w:r>
        <w:t>6.7 Safety Officer - Lisa Park</w:t>
      </w:r>
    </w:p>
    <w:p>
      <w:r>
        <w:rPr>
          <w:b/>
        </w:rPr>
        <w:t>Accountable for:</w:t>
      </w:r>
      <w:r>
        <w:t xml:space="preserve"> LOTO, permits, PPE, crew qualification and ISO compliance.</w:t>
      </w:r>
    </w:p>
    <w:p>
      <w:r>
        <w:rPr>
          <w:b/>
        </w:rPr>
        <w:t>Default focus:</w:t>
      </w:r>
      <w:r>
        <w:t xml:space="preserve"> ISO zone, LOTO reference, risk stage, safety notes and pre-task controls. Financial detail and spectrum detail are suppressed.</w:t>
      </w:r>
    </w:p>
    <w:p>
      <w:pPr>
        <w:pStyle w:val="Heading2"/>
      </w:pPr>
      <w:r>
        <w:t>7. Persona comparison example</w:t>
      </w:r>
    </w:p>
    <w:p>
      <w:r>
        <w:t>Assume the same validated case: a Stage 3 outer-race fault on a bottleneck motor, high/critical risk, short RUL and a grounded replacement SOP.</w:t>
      </w:r>
    </w:p>
    <w:tbl>
      <w:tblPr>
        <w:tblStyle w:val="TableGrid"/>
        <w:tblW w:type="auto" w:w="0"/>
        <w:tblLayout w:type="autofit"/>
        <w:tblLook w:firstColumn="1" w:firstRow="1" w:lastColumn="0" w:lastRow="0" w:noHBand="0" w:noVBand="1" w:val="04A0"/>
      </w:tblPr>
      <w:tblGrid>
        <w:gridCol w:w="5040"/>
        <w:gridCol w:w="5040"/>
      </w:tblGrid>
      <w:tr>
        <w:tc>
          <w:tcPr>
            <w:tcW w:type="dxa" w:w="5040"/>
            <w:vAlign w:val="center"/>
            <w:shd w:fill="D9EAF7"/>
          </w:tcPr>
          <w:p>
            <w:r>
              <w:rPr>
                <w:b/>
              </w:rPr>
            </w:r>
            <w:r>
              <w:rPr>
                <w:b/>
              </w:rPr>
              <w:t>Persona</w:t>
            </w:r>
          </w:p>
        </w:tc>
        <w:tc>
          <w:tcPr>
            <w:tcW w:type="dxa" w:w="5040"/>
            <w:vAlign w:val="center"/>
            <w:shd w:fill="D9EAF7"/>
          </w:tcPr>
          <w:p>
            <w:r>
              <w:rPr>
                <w:b/>
              </w:rPr>
            </w:r>
            <w:r>
              <w:rPr>
                <w:b/>
              </w:rPr>
              <w:t>How the same case is framed</w:t>
            </w:r>
          </w:p>
        </w:tc>
      </w:tr>
      <w:tr>
        <w:tc>
          <w:tcPr>
            <w:tcW w:type="dxa" w:w="5040"/>
            <w:vAlign w:val="center"/>
          </w:tcPr>
          <w:p>
            <w:r/>
            <w:r>
              <w:t>Supervisor</w:t>
            </w:r>
          </w:p>
        </w:tc>
        <w:tc>
          <w:tcPr>
            <w:tcW w:type="dxa" w:w="5040"/>
            <w:vAlign w:val="center"/>
          </w:tcPr>
          <w:p>
            <w:r/>
            <w:r>
              <w:t>Run/defer verdict, immediate operational consequence, operator brief and approval/escalation need</w:t>
            </w:r>
          </w:p>
        </w:tc>
      </w:tr>
      <w:tr>
        <w:tc>
          <w:tcPr>
            <w:tcW w:type="dxa" w:w="5040"/>
            <w:vAlign w:val="center"/>
          </w:tcPr>
          <w:p>
            <w:r/>
            <w:r>
              <w:t>Engineer</w:t>
            </w:r>
          </w:p>
        </w:tc>
        <w:tc>
          <w:tcPr>
            <w:tcW w:type="dxa" w:w="5040"/>
            <w:vAlign w:val="center"/>
          </w:tcPr>
          <w:p>
            <w:r/>
            <w:r>
              <w:t>BPFO/kurtosis rule evidence, stage, confidence, RUL interval and FFT follow-up</w:t>
            </w:r>
          </w:p>
        </w:tc>
      </w:tr>
      <w:tr>
        <w:tc>
          <w:tcPr>
            <w:tcW w:type="dxa" w:w="5040"/>
            <w:vAlign w:val="center"/>
          </w:tcPr>
          <w:p>
            <w:r/>
            <w:r>
              <w:t>Maintenance</w:t>
            </w:r>
          </w:p>
        </w:tc>
        <w:tc>
          <w:tcPr>
            <w:tcW w:type="dxa" w:w="5040"/>
            <w:vAlign w:val="center"/>
          </w:tcPr>
          <w:p>
            <w:r/>
            <w:r>
              <w:t>Bearing/parts, crew, LOTO, job duration, SOP and maintenance window</w:t>
            </w:r>
          </w:p>
        </w:tc>
      </w:tr>
      <w:tr>
        <w:tc>
          <w:tcPr>
            <w:tcW w:type="dxa" w:w="5040"/>
            <w:vAlign w:val="center"/>
          </w:tcPr>
          <w:p>
            <w:r/>
            <w:r>
              <w:t>Manager</w:t>
            </w:r>
          </w:p>
        </w:tc>
        <w:tc>
          <w:tcPr>
            <w:tcW w:type="dxa" w:w="5040"/>
            <w:vAlign w:val="center"/>
          </w:tcPr>
          <w:p>
            <w:r/>
            <w:r>
              <w:t>Planned versus deferred demo cost, production impact and authority</w:t>
            </w:r>
          </w:p>
        </w:tc>
      </w:tr>
      <w:tr>
        <w:tc>
          <w:tcPr>
            <w:tcW w:type="dxa" w:w="5040"/>
            <w:vAlign w:val="center"/>
          </w:tcPr>
          <w:p>
            <w:r/>
            <w:r>
              <w:t>Executive</w:t>
            </w:r>
          </w:p>
        </w:tc>
        <w:tc>
          <w:tcPr>
            <w:tcW w:type="dxa" w:w="5040"/>
            <w:vAlign w:val="center"/>
          </w:tcPr>
          <w:p>
            <w:r/>
            <w:r>
              <w:t>Portfolio exposure, health/risk indicator and leadership attention</w:t>
            </w:r>
          </w:p>
        </w:tc>
      </w:tr>
      <w:tr>
        <w:tc>
          <w:tcPr>
            <w:tcW w:type="dxa" w:w="5040"/>
            <w:vAlign w:val="center"/>
          </w:tcPr>
          <w:p>
            <w:r/>
            <w:r>
              <w:t>OT</w:t>
            </w:r>
          </w:p>
        </w:tc>
        <w:tc>
          <w:tcPr>
            <w:tcW w:type="dxa" w:w="5040"/>
            <w:vAlign w:val="center"/>
          </w:tcPr>
          <w:p>
            <w:r/>
            <w:r>
              <w:t>Signal quality, mapping, historian and post-repair baseline work</w:t>
            </w:r>
          </w:p>
        </w:tc>
      </w:tr>
      <w:tr>
        <w:tc>
          <w:tcPr>
            <w:tcW w:type="dxa" w:w="5040"/>
            <w:vAlign w:val="center"/>
          </w:tcPr>
          <w:p>
            <w:r/>
            <w:r>
              <w:t>Safety</w:t>
            </w:r>
          </w:p>
        </w:tc>
        <w:tc>
          <w:tcPr>
            <w:tcW w:type="dxa" w:w="5040"/>
            <w:vAlign w:val="center"/>
          </w:tcPr>
          <w:p>
            <w:r/>
            <w:r>
              <w:t>Isolation requirement, permit, PPE, crew certification and compliance</w:t>
            </w:r>
          </w:p>
        </w:tc>
      </w:tr>
    </w:tbl>
    <w:p>
      <w:pPr>
        <w:spacing w:after="40"/>
      </w:pPr>
    </w:p>
    <w:p>
      <w:r>
        <w:t>The system should never report seven different diagnoses. It reports one diagnosis in seven decision contexts.</w:t>
      </w:r>
    </w:p>
    <w:p>
      <w:pPr>
        <w:pStyle w:val="Heading2"/>
      </w:pPr>
      <w:r>
        <w:t>8. Human-in-the-loop governance</w:t>
      </w:r>
    </w:p>
    <w:p>
      <w:pPr>
        <w:pStyle w:val="Heading3"/>
      </w:pPr>
      <w:r>
        <w:t>8.1 Decision cards</w:t>
      </w:r>
    </w:p>
    <w:p>
      <w:r>
        <w:t>The system can pause at six material control points:</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shd w:fill="D9EAF7"/>
          </w:tcPr>
          <w:p>
            <w:r>
              <w:rPr>
                <w:b/>
              </w:rPr>
            </w:r>
            <w:r>
              <w:rPr>
                <w:b/>
              </w:rPr>
              <w:t>Decision</w:t>
            </w:r>
          </w:p>
        </w:tc>
        <w:tc>
          <w:tcPr>
            <w:tcW w:type="dxa" w:w="3360"/>
            <w:vAlign w:val="center"/>
            <w:shd w:fill="D9EAF7"/>
          </w:tcPr>
          <w:p>
            <w:r>
              <w:rPr>
                <w:b/>
              </w:rPr>
            </w:r>
            <w:r>
              <w:rPr>
                <w:b/>
              </w:rPr>
              <w:t>Available actions</w:t>
            </w:r>
          </w:p>
        </w:tc>
        <w:tc>
          <w:tcPr>
            <w:tcW w:type="dxa" w:w="3360"/>
            <w:vAlign w:val="center"/>
            <w:shd w:fill="D9EAF7"/>
          </w:tcPr>
          <w:p>
            <w:r>
              <w:rPr>
                <w:b/>
              </w:rPr>
            </w:r>
            <w:r>
              <w:rPr>
                <w:b/>
              </w:rPr>
              <w:t>Default decision owners</w:t>
            </w:r>
          </w:p>
        </w:tc>
      </w:tr>
      <w:tr>
        <w:tc>
          <w:tcPr>
            <w:tcW w:type="dxa" w:w="3360"/>
            <w:vAlign w:val="center"/>
          </w:tcPr>
          <w:p>
            <w:r/>
            <w:r>
              <w:t>Poor/remediable data</w:t>
            </w:r>
          </w:p>
        </w:tc>
        <w:tc>
          <w:tcPr>
            <w:tcW w:type="dxa" w:w="3360"/>
            <w:vAlign w:val="center"/>
          </w:tcPr>
          <w:p>
            <w:r/>
            <w:r>
              <w:t>Impute, Drop, Keep</w:t>
            </w:r>
          </w:p>
        </w:tc>
        <w:tc>
          <w:tcPr>
            <w:tcW w:type="dxa" w:w="3360"/>
            <w:vAlign w:val="center"/>
          </w:tcPr>
          <w:p>
            <w:r/>
            <w:r>
              <w:t>Supervisor, Engineer, OT</w:t>
            </w:r>
          </w:p>
        </w:tc>
      </w:tr>
      <w:tr>
        <w:tc>
          <w:tcPr>
            <w:tcW w:type="dxa" w:w="3360"/>
            <w:vAlign w:val="center"/>
          </w:tcPr>
          <w:p>
            <w:r/>
            <w:r>
              <w:t>Borderline anomaly</w:t>
            </w:r>
          </w:p>
        </w:tc>
        <w:tc>
          <w:tcPr>
            <w:tcW w:type="dxa" w:w="3360"/>
            <w:vAlign w:val="center"/>
          </w:tcPr>
          <w:p>
            <w:r/>
            <w:r>
              <w:t>Suppress, Confirm</w:t>
            </w:r>
          </w:p>
        </w:tc>
        <w:tc>
          <w:tcPr>
            <w:tcW w:type="dxa" w:w="3360"/>
            <w:vAlign w:val="center"/>
          </w:tcPr>
          <w:p>
            <w:r/>
            <w:r>
              <w:t>Supervisor, Engineer</w:t>
            </w:r>
          </w:p>
        </w:tc>
      </w:tr>
      <w:tr>
        <w:tc>
          <w:tcPr>
            <w:tcW w:type="dxa" w:w="3360"/>
            <w:vAlign w:val="center"/>
          </w:tcPr>
          <w:p>
            <w:r/>
            <w:r>
              <w:t>Low-confidence diagnosis</w:t>
            </w:r>
          </w:p>
        </w:tc>
        <w:tc>
          <w:tcPr>
            <w:tcW w:type="dxa" w:w="3360"/>
            <w:vAlign w:val="center"/>
          </w:tcPr>
          <w:p>
            <w:r/>
            <w:r>
              <w:t>Confirm, Mark undetermined</w:t>
            </w:r>
          </w:p>
        </w:tc>
        <w:tc>
          <w:tcPr>
            <w:tcW w:type="dxa" w:w="3360"/>
            <w:vAlign w:val="center"/>
          </w:tcPr>
          <w:p>
            <w:r/>
            <w:r>
              <w:t>Engineer</w:t>
            </w:r>
          </w:p>
        </w:tc>
      </w:tr>
      <w:tr>
        <w:tc>
          <w:tcPr>
            <w:tcW w:type="dxa" w:w="3360"/>
            <w:vAlign w:val="center"/>
          </w:tcPr>
          <w:p>
            <w:r/>
            <w:r>
              <w:t>Optional LLM advisory</w:t>
            </w:r>
          </w:p>
        </w:tc>
        <w:tc>
          <w:tcPr>
            <w:tcW w:type="dxa" w:w="3360"/>
            <w:vAlign w:val="center"/>
          </w:tcPr>
          <w:p>
            <w:r/>
            <w:r>
              <w:t>Accept, Reject, Modify</w:t>
            </w:r>
          </w:p>
        </w:tc>
        <w:tc>
          <w:tcPr>
            <w:tcW w:type="dxa" w:w="3360"/>
            <w:vAlign w:val="center"/>
          </w:tcPr>
          <w:p>
            <w:r/>
            <w:r>
              <w:t>Supervisor, Engineer</w:t>
            </w:r>
          </w:p>
        </w:tc>
      </w:tr>
      <w:tr>
        <w:tc>
          <w:tcPr>
            <w:tcW w:type="dxa" w:w="3360"/>
            <w:vAlign w:val="center"/>
          </w:tcPr>
          <w:p>
            <w:r/>
            <w:r>
              <w:t>Missing SOP</w:t>
            </w:r>
          </w:p>
        </w:tc>
        <w:tc>
          <w:tcPr>
            <w:tcW w:type="dxa" w:w="3360"/>
            <w:vAlign w:val="center"/>
          </w:tcPr>
          <w:p>
            <w:r/>
            <w:r>
              <w:t>Flag manual lookup, Accept empty</w:t>
            </w:r>
          </w:p>
        </w:tc>
        <w:tc>
          <w:tcPr>
            <w:tcW w:type="dxa" w:w="3360"/>
            <w:vAlign w:val="center"/>
          </w:tcPr>
          <w:p>
            <w:r/>
            <w:r>
              <w:t>Engineer, Maintenance, Safety</w:t>
            </w:r>
          </w:p>
        </w:tc>
      </w:tr>
      <w:tr>
        <w:tc>
          <w:tcPr>
            <w:tcW w:type="dxa" w:w="3360"/>
            <w:vAlign w:val="center"/>
          </w:tcPr>
          <w:p>
            <w:r/>
            <w:r>
              <w:t>Maintenance execution</w:t>
            </w:r>
          </w:p>
        </w:tc>
        <w:tc>
          <w:tcPr>
            <w:tcW w:type="dxa" w:w="3360"/>
            <w:vAlign w:val="center"/>
          </w:tcPr>
          <w:p>
            <w:r/>
            <w:r>
              <w:t>Approve/reject in the execution flow</w:t>
            </w:r>
          </w:p>
        </w:tc>
        <w:tc>
          <w:tcPr>
            <w:tcW w:type="dxa" w:w="3360"/>
            <w:vAlign w:val="center"/>
          </w:tcPr>
          <w:p>
            <w:r/>
            <w:r>
              <w:t>Supervisor, Maintenance, Manager</w:t>
            </w:r>
          </w:p>
        </w:tc>
      </w:tr>
    </w:tbl>
    <w:p>
      <w:pPr>
        <w:spacing w:after="40"/>
      </w:pPr>
    </w:p>
    <w:p>
      <w:r>
        <w:t>All personas may be shown the decision evidence where appropriate, but only a persona listed for that gate sees actionable controls. The backend checks the same policy, so manually calling the API as an unauthorized persona receives a forbidden response.</w:t>
      </w:r>
    </w:p>
    <w:p>
      <w:pPr>
        <w:pStyle w:val="Heading3"/>
      </w:pPr>
      <w:r>
        <w:t>8.2 Approval escalation</w:t>
      </w:r>
    </w:p>
    <w:p>
      <w:r>
        <w:t>Current business hierarchy:</w:t>
      </w:r>
    </w:p>
    <w:p>
      <w:pPr>
        <w:pStyle w:val="CodeBlock"/>
        <w:shd w:fill="F3F4F6"/>
      </w:pPr>
      <w:r>
        <w:t>Plant Supervisor -&gt; Plant Manager -&gt; VP Operations</w:t>
      </w:r>
    </w:p>
    <w:p>
      <w:r>
        <w:t>Default time to next escalation:</w:t>
      </w:r>
    </w:p>
    <w:tbl>
      <w:tblPr>
        <w:tblStyle w:val="TableGrid"/>
        <w:tblW w:type="auto" w:w="0"/>
        <w:tblLayout w:type="autofit"/>
        <w:tblLook w:firstColumn="1" w:firstRow="1" w:lastColumn="0" w:lastRow="0" w:noHBand="0" w:noVBand="1" w:val="04A0"/>
      </w:tblPr>
      <w:tblGrid>
        <w:gridCol w:w="5040"/>
        <w:gridCol w:w="5040"/>
      </w:tblGrid>
      <w:tr>
        <w:tc>
          <w:tcPr>
            <w:tcW w:type="dxa" w:w="5040"/>
            <w:vAlign w:val="center"/>
            <w:shd w:fill="D9EAF7"/>
          </w:tcPr>
          <w:p>
            <w:r>
              <w:rPr>
                <w:b/>
              </w:rPr>
            </w:r>
            <w:r>
              <w:rPr>
                <w:b/>
              </w:rPr>
              <w:t>Urgency</w:t>
            </w:r>
          </w:p>
        </w:tc>
        <w:tc>
          <w:tcPr>
            <w:tcW w:type="dxa" w:w="5040"/>
            <w:vAlign w:val="center"/>
            <w:shd w:fill="D9EAF7"/>
          </w:tcPr>
          <w:p>
            <w:r>
              <w:rPr>
                <w:b/>
              </w:rPr>
            </w:r>
            <w:r>
              <w:rPr>
                <w:b/>
              </w:rPr>
              <w:t>Time</w:t>
            </w:r>
          </w:p>
        </w:tc>
      </w:tr>
      <w:tr>
        <w:tc>
          <w:tcPr>
            <w:tcW w:type="dxa" w:w="5040"/>
            <w:vAlign w:val="center"/>
          </w:tcPr>
          <w:p>
            <w:r/>
            <w:r>
              <w:t>Immediate</w:t>
            </w:r>
          </w:p>
        </w:tc>
        <w:tc>
          <w:tcPr>
            <w:tcW w:type="dxa" w:w="5040"/>
            <w:vAlign w:val="center"/>
          </w:tcPr>
          <w:p>
            <w:r/>
            <w:r>
              <w:t>15 minutes</w:t>
            </w:r>
          </w:p>
        </w:tc>
      </w:tr>
      <w:tr>
        <w:tc>
          <w:tcPr>
            <w:tcW w:type="dxa" w:w="5040"/>
            <w:vAlign w:val="center"/>
          </w:tcPr>
          <w:p>
            <w:r/>
            <w:r>
              <w:t>Urgent</w:t>
            </w:r>
          </w:p>
        </w:tc>
        <w:tc>
          <w:tcPr>
            <w:tcW w:type="dxa" w:w="5040"/>
            <w:vAlign w:val="center"/>
          </w:tcPr>
          <w:p>
            <w:r/>
            <w:r>
              <w:t>1 hour</w:t>
            </w:r>
          </w:p>
        </w:tc>
      </w:tr>
      <w:tr>
        <w:tc>
          <w:tcPr>
            <w:tcW w:type="dxa" w:w="5040"/>
            <w:vAlign w:val="center"/>
          </w:tcPr>
          <w:p>
            <w:r/>
            <w:r>
              <w:t>Planned</w:t>
            </w:r>
          </w:p>
        </w:tc>
        <w:tc>
          <w:tcPr>
            <w:tcW w:type="dxa" w:w="5040"/>
            <w:vAlign w:val="center"/>
          </w:tcPr>
          <w:p>
            <w:r/>
            <w:r>
              <w:t>4 hours</w:t>
            </w:r>
          </w:p>
        </w:tc>
      </w:tr>
      <w:tr>
        <w:tc>
          <w:tcPr>
            <w:tcW w:type="dxa" w:w="5040"/>
            <w:vAlign w:val="center"/>
          </w:tcPr>
          <w:p>
            <w:r/>
            <w:r>
              <w:t>Monitor</w:t>
            </w:r>
          </w:p>
        </w:tc>
        <w:tc>
          <w:tcPr>
            <w:tcW w:type="dxa" w:w="5040"/>
            <w:vAlign w:val="center"/>
          </w:tcPr>
          <w:p>
            <w:r/>
            <w:r>
              <w:t>24 hours</w:t>
            </w:r>
          </w:p>
        </w:tc>
      </w:tr>
    </w:tbl>
    <w:p>
      <w:pPr>
        <w:spacing w:after="40"/>
      </w:pPr>
    </w:p>
    <w:p>
      <w:r>
        <w:t>The card shows the exact escalation time and next persona. The current timer is implemented in the active frontend session. It is suitable for demonstration, not for guaranteed production escalation when browsers are closed or multiple users are active. A durable backend scheduler remains required.</w:t>
      </w:r>
    </w:p>
    <w:p>
      <w:r>
        <w:rPr>
          <w:b/>
        </w:rPr>
        <w:t>Governance item to resolve:</w:t>
      </w:r>
      <w:r>
        <w:t xml:space="preserve"> execution-card permissions currently allow Supervisor, Maintenance and Manager, while the escalation hierarchy contains Supervisor, Manager and Executive. These are separate configurable policies and must be deliberately aligned before production.</w:t>
      </w:r>
    </w:p>
    <w:p>
      <w:pPr>
        <w:pStyle w:val="Heading3"/>
      </w:pPr>
      <w:r>
        <w:t>8.3 Rejection reasons and learning</w:t>
      </w:r>
    </w:p>
    <w:p>
      <w:r>
        <w:t>A recommendation can be rejected using one of five codes: diagnosis wrong, parts concern, second opinion required, wrong maintenance window or other. Free text is optional. Two consecutive rejections for the same asset and fault within 30 days flag Reliability Engineering. Rejection feedback is preserved for learning/audit, but is not automatically accepted as a technical root cause.</w:t>
      </w:r>
    </w:p>
    <w:p>
      <w:pPr>
        <w:pStyle w:val="Heading2"/>
      </w:pPr>
      <w:r>
        <w:t>9. Business scenarios and expected behaviour</w:t>
      </w:r>
    </w:p>
    <w:p>
      <w:pPr>
        <w:pStyle w:val="Heading3"/>
      </w:pPr>
      <w:r>
        <w:t>Scenario A - Healthy equipment</w:t>
      </w:r>
    </w:p>
    <w:p>
      <w:r>
        <w:rPr>
          <w:b/>
        </w:rPr>
        <w:t>Question:</w:t>
      </w:r>
      <w:r>
        <w:t xml:space="preserve"> “Is M-122 anomalous?” </w:t>
      </w:r>
      <w:r>
        <w:rPr>
          <w:b/>
        </w:rPr>
        <w:t>Evidence:</w:t>
      </w:r>
      <w:r>
        <w:t xml:space="preserve"> registered healthy scenario. </w:t>
      </w:r>
      <w:r>
        <w:rPr>
          <w:b/>
        </w:rPr>
        <w:t>Expected:</w:t>
      </w:r>
      <w:r>
        <w:t xml:space="preserve"> data passes Agent 1, Agent 2 reports healthy, and the flow stops. No diagnosis, RUL, work order or failure story is invented.</w:t>
      </w:r>
    </w:p>
    <w:p>
      <w:pPr>
        <w:pStyle w:val="Heading3"/>
      </w:pPr>
      <w:r>
        <w:t>Scenario B - Supported bearing fault</w:t>
      </w:r>
    </w:p>
    <w:p>
      <w:r>
        <w:rPr>
          <w:b/>
        </w:rPr>
        <w:t>Question:</w:t>
      </w:r>
      <w:r>
        <w:t xml:space="preserve"> “Recommend the maintenance action for M-121.” </w:t>
      </w:r>
      <w:r>
        <w:rPr>
          <w:b/>
        </w:rPr>
        <w:t>Evidence:</w:t>
      </w:r>
      <w:r>
        <w:t xml:space="preserve"> registered Stage 2 outer-race scenario. </w:t>
      </w:r>
      <w:r>
        <w:rPr>
          <w:b/>
        </w:rPr>
        <w:t>Expected:</w:t>
      </w:r>
      <w:r>
        <w:t xml:space="preserve"> Agents 1-6 run. The response presents diagnosis, risk, cited SOP, ranked action, rationale, confidence, RUL and approval requirement. Execution does not occur until the approved execution endpoint is used.</w:t>
      </w:r>
    </w:p>
    <w:p>
      <w:pPr>
        <w:pStyle w:val="Heading3"/>
      </w:pPr>
      <w:r>
        <w:t>Scenario C - Signal dropout</w:t>
      </w:r>
    </w:p>
    <w:p>
      <w:r>
        <w:rPr>
          <w:b/>
        </w:rPr>
        <w:t>Question:</w:t>
      </w:r>
      <w:r>
        <w:t xml:space="preserve"> “Analyse C-317 completely.” </w:t>
      </w:r>
      <w:r>
        <w:rPr>
          <w:b/>
        </w:rPr>
        <w:t>Evidence:</w:t>
      </w:r>
      <w:r>
        <w:t xml:space="preserve"> missing/poor-quality signals. </w:t>
      </w:r>
      <w:r>
        <w:rPr>
          <w:b/>
        </w:rPr>
        <w:t>Expected:</w:t>
      </w:r>
      <w:r>
        <w:t xml:space="preserve"> Agent 1 routes to review and presents a remediation decision to an authorized persona. Downstream agents do not fill in the missing diagnosis.</w:t>
      </w:r>
    </w:p>
    <w:p>
      <w:pPr>
        <w:pStyle w:val="Heading3"/>
      </w:pPr>
      <w:r>
        <w:t>Scenario D - Unknown asset</w:t>
      </w:r>
    </w:p>
    <w:p>
      <w:r>
        <w:rPr>
          <w:b/>
        </w:rPr>
        <w:t>Question:</w:t>
      </w:r>
      <w:r>
        <w:t xml:space="preserve"> “What is the RUL of asset X-999?” </w:t>
      </w:r>
      <w:r>
        <w:rPr>
          <w:b/>
        </w:rPr>
        <w:t>Expected:</w:t>
      </w:r>
      <w:r>
        <w:t xml:space="preserve"> request registration/evidence or reject the supplied mapping. The system must not reuse a different asset, estimate an asset-specific RUL or run downstream maintenance agents.</w:t>
      </w:r>
    </w:p>
    <w:p>
      <w:pPr>
        <w:pStyle w:val="Heading3"/>
      </w:pPr>
      <w:r>
        <w:t>Scenario E - Concept question without asset ID</w:t>
      </w:r>
    </w:p>
    <w:p>
      <w:r>
        <w:rPr>
          <w:b/>
        </w:rPr>
        <w:t>Question:</w:t>
      </w:r>
      <w:r>
        <w:t xml:space="preserve"> “What is RUL?” </w:t>
      </w:r>
      <w:r>
        <w:rPr>
          <w:b/>
        </w:rPr>
        <w:t>Expected:</w:t>
      </w:r>
      <w:r>
        <w:t xml:space="preserve"> return an approved, cited general definition. No asset is required because the user asked for a concept, not an asset result.</w:t>
      </w:r>
    </w:p>
    <w:p>
      <w:pPr>
        <w:pStyle w:val="Heading3"/>
      </w:pPr>
      <w:r>
        <w:t>Scenario F - Ambiguous asset-specific question</w:t>
      </w:r>
    </w:p>
    <w:p>
      <w:r>
        <w:rPr>
          <w:b/>
        </w:rPr>
        <w:t>Question:</w:t>
      </w:r>
      <w:r>
        <w:t xml:space="preserve"> “What is the RUL of this bearing?” </w:t>
      </w:r>
      <w:r>
        <w:rPr>
          <w:b/>
        </w:rPr>
        <w:t>Expected:</w:t>
      </w:r>
      <w:r>
        <w:t xml:space="preserve"> ask for asset identity and validated telemetry or scenario before answering. The follow-up uses the same conversation ID.</w:t>
      </w:r>
    </w:p>
    <w:p>
      <w:pPr>
        <w:pStyle w:val="Heading3"/>
      </w:pPr>
      <w:r>
        <w:t>Scenario G - Multi-asset weekly action plan</w:t>
      </w:r>
    </w:p>
    <w:p>
      <w:r>
        <w:rPr>
          <w:b/>
        </w:rPr>
        <w:t>Question:</w:t>
      </w:r>
      <w:r>
        <w:t xml:space="preserve"> “Give the complete action plan for M-121, P-220 and C-315.” </w:t>
      </w:r>
      <w:r>
        <w:rPr>
          <w:b/>
        </w:rPr>
        <w:t>Expected:</w:t>
      </w:r>
      <w:r>
        <w:t xml:space="preserve"> evaluate all three independently, label each result, show action and timing for each, and preserve partial results if one asset is rejected. A single first-asset response is incorrect.</w:t>
      </w:r>
    </w:p>
    <w:p>
      <w:pPr>
        <w:pStyle w:val="Heading3"/>
      </w:pPr>
      <w:r>
        <w:t>Scenario H - Fleet ranking</w:t>
      </w:r>
    </w:p>
    <w:p>
      <w:r>
        <w:rPr>
          <w:b/>
        </w:rPr>
        <w:t>Question:</w:t>
      </w:r>
      <w:r>
        <w:t xml:space="preserve"> “Which bearing has the highest risk?” </w:t>
      </w:r>
      <w:r>
        <w:rPr>
          <w:b/>
        </w:rPr>
        <w:t>Expected:</w:t>
      </w:r>
      <w:r>
        <w:t xml:space="preserve"> require an approved fleet snapshot or aggregation. The system must not rank assets from names or partial evidence.</w:t>
      </w:r>
    </w:p>
    <w:p>
      <w:pPr>
        <w:pStyle w:val="Heading3"/>
      </w:pPr>
      <w:r>
        <w:t>Scenario I - Recent failures and lessons</w:t>
      </w:r>
    </w:p>
    <w:p>
      <w:r>
        <w:rPr>
          <w:b/>
        </w:rPr>
        <w:t>Question:</w:t>
      </w:r>
      <w:r>
        <w:t xml:space="preserve"> “What were the last three failures and what did we learn?” </w:t>
      </w:r>
      <w:r>
        <w:rPr>
          <w:b/>
        </w:rPr>
        <w:t>Expected:</w:t>
      </w:r>
      <w:r>
        <w:t xml:space="preserve"> query Agent 8 validated memory. If there are no learned closed cases, state that honestly. Retrieved cases and SOP evidence should be cited.</w:t>
      </w:r>
    </w:p>
    <w:p>
      <w:pPr>
        <w:pStyle w:val="Heading3"/>
      </w:pPr>
      <w:r>
        <w:t>Scenario J - Conflicting technical evidence</w:t>
      </w:r>
    </w:p>
    <w:p>
      <w:r>
        <w:rPr>
          <w:b/>
        </w:rPr>
        <w:t>Evidence:</w:t>
      </w:r>
      <w:r>
        <w:t xml:space="preserve"> equal Stage 2 BPFO and BPFI signals. </w:t>
      </w:r>
      <w:r>
        <w:rPr>
          <w:b/>
        </w:rPr>
        <w:t>Expected:</w:t>
      </w:r>
      <w:r>
        <w:t xml:space="preserve"> taxonomy priority selects outer race as the primary diagnosis and retains inner race as differential evidence. The response should communicate uncertainty and the matching rule rather than hiding the conflict.</w:t>
      </w:r>
    </w:p>
    <w:p>
      <w:pPr>
        <w:pStyle w:val="Heading2"/>
      </w:pPr>
      <w:r>
        <w:t>10. Chat and clarification rules</w:t>
      </w:r>
    </w:p>
    <w:p>
      <w:r>
        <w:t xml:space="preserve">All natural-language questions should use </w:t>
      </w:r>
      <w:r>
        <w:rPr>
          <w:rFonts w:ascii="Consolas" w:hAnsi="Consolas"/>
          <w:color w:val="1F4E79"/>
          <w:sz w:val="18"/>
        </w:rPr>
        <w:t>/api/chat</w:t>
      </w:r>
      <w:r>
        <w:t>. The frontend must not use a canned response or a single-asset shortcut that bypasses orchestration.</w:t>
      </w:r>
    </w:p>
    <w:p>
      <w:r>
        <w:t>The chat system distinguishes:</w:t>
      </w:r>
    </w:p>
    <w:p>
      <w:pPr>
        <w:pStyle w:val="ListBullet"/>
      </w:pPr>
      <w:r>
        <w:rPr>
          <w:b/>
        </w:rPr>
        <w:t>Concept question:</w:t>
      </w:r>
      <w:r>
        <w:t xml:space="preserve"> answer from approved knowledge without asset evidence.</w:t>
      </w:r>
    </w:p>
    <w:p>
      <w:pPr>
        <w:pStyle w:val="ListBullet"/>
      </w:pPr>
      <w:r>
        <w:rPr>
          <w:b/>
        </w:rPr>
        <w:t>Asset question:</w:t>
      </w:r>
      <w:r>
        <w:t xml:space="preserve"> require validated telemetry or a registered scenario.</w:t>
      </w:r>
    </w:p>
    <w:p>
      <w:pPr>
        <w:pStyle w:val="ListBullet"/>
      </w:pPr>
      <w:r>
        <w:rPr>
          <w:b/>
        </w:rPr>
        <w:t>Fleet question:</w:t>
      </w:r>
      <w:r>
        <w:t xml:space="preserve"> require a governed fleet snapshot/aggregation.</w:t>
      </w:r>
    </w:p>
    <w:p>
      <w:pPr>
        <w:pStyle w:val="ListBullet"/>
      </w:pPr>
      <w:r>
        <w:rPr>
          <w:b/>
        </w:rPr>
        <w:t>History question:</w:t>
      </w:r>
      <w:r>
        <w:t xml:space="preserve"> query Agent 8 memory.</w:t>
      </w:r>
    </w:p>
    <w:p>
      <w:pPr>
        <w:pStyle w:val="ListBullet"/>
      </w:pPr>
      <w:r>
        <w:rPr>
          <w:b/>
        </w:rPr>
        <w:t>General/open question:</w:t>
      </w:r>
      <w:r>
        <w:t xml:space="preserve"> ask for objective, scope or timeframe where needed;</w:t>
      </w:r>
    </w:p>
    <w:p>
      <w:r>
        <w:t>use governed RAG only for claims that can be cited.</w:t>
      </w:r>
    </w:p>
    <w:p>
      <w:r>
        <w:t>Conversation defaults:</w:t>
      </w:r>
    </w:p>
    <w:tbl>
      <w:tblPr>
        <w:tblStyle w:val="TableGrid"/>
        <w:tblW w:type="auto" w:w="0"/>
        <w:tblLayout w:type="autofit"/>
        <w:tblLook w:firstColumn="1" w:firstRow="1" w:lastColumn="0" w:lastRow="0" w:noHBand="0" w:noVBand="1" w:val="04A0"/>
      </w:tblPr>
      <w:tblGrid>
        <w:gridCol w:w="5040"/>
        <w:gridCol w:w="5040"/>
      </w:tblGrid>
      <w:tr>
        <w:tc>
          <w:tcPr>
            <w:tcW w:type="dxa" w:w="5040"/>
            <w:vAlign w:val="center"/>
            <w:shd w:fill="D9EAF7"/>
          </w:tcPr>
          <w:p>
            <w:r>
              <w:rPr>
                <w:b/>
              </w:rPr>
            </w:r>
            <w:r>
              <w:rPr>
                <w:b/>
              </w:rPr>
              <w:t>Policy</w:t>
            </w:r>
          </w:p>
        </w:tc>
        <w:tc>
          <w:tcPr>
            <w:tcW w:type="dxa" w:w="5040"/>
            <w:vAlign w:val="center"/>
            <w:shd w:fill="D9EAF7"/>
          </w:tcPr>
          <w:p>
            <w:r>
              <w:rPr>
                <w:b/>
              </w:rPr>
            </w:r>
            <w:r>
              <w:rPr>
                <w:b/>
              </w:rPr>
              <w:t>Current default</w:t>
            </w:r>
          </w:p>
        </w:tc>
      </w:tr>
      <w:tr>
        <w:tc>
          <w:tcPr>
            <w:tcW w:type="dxa" w:w="5040"/>
            <w:vAlign w:val="center"/>
          </w:tcPr>
          <w:p>
            <w:r/>
            <w:r>
              <w:t>Maximum user message</w:t>
            </w:r>
          </w:p>
        </w:tc>
        <w:tc>
          <w:tcPr>
            <w:tcW w:type="dxa" w:w="5040"/>
            <w:vAlign w:val="center"/>
          </w:tcPr>
          <w:p>
            <w:r/>
            <w:r>
              <w:t>2,000 characters</w:t>
            </w:r>
          </w:p>
        </w:tc>
      </w:tr>
      <w:tr>
        <w:tc>
          <w:tcPr>
            <w:tcW w:type="dxa" w:w="5040"/>
            <w:vAlign w:val="center"/>
          </w:tcPr>
          <w:p>
            <w:r/>
            <w:r>
              <w:t>Default persona</w:t>
            </w:r>
          </w:p>
        </w:tc>
        <w:tc>
          <w:tcPr>
            <w:tcW w:type="dxa" w:w="5040"/>
            <w:vAlign w:val="center"/>
          </w:tcPr>
          <w:p>
            <w:r/>
            <w:r>
              <w:t>Supervisor</w:t>
            </w:r>
          </w:p>
        </w:tc>
      </w:tr>
      <w:tr>
        <w:tc>
          <w:tcPr>
            <w:tcW w:type="dxa" w:w="5040"/>
            <w:vAlign w:val="center"/>
          </w:tcPr>
          <w:p>
            <w:r/>
            <w:r>
              <w:t>Maximum stored conversation sessions</w:t>
            </w:r>
          </w:p>
        </w:tc>
        <w:tc>
          <w:tcPr>
            <w:tcW w:type="dxa" w:w="5040"/>
            <w:vAlign w:val="center"/>
          </w:tcPr>
          <w:p>
            <w:r/>
            <w:r>
              <w:t>500</w:t>
            </w:r>
          </w:p>
        </w:tc>
      </w:tr>
      <w:tr>
        <w:tc>
          <w:tcPr>
            <w:tcW w:type="dxa" w:w="5040"/>
            <w:vAlign w:val="center"/>
          </w:tcPr>
          <w:p>
            <w:r/>
            <w:r>
              <w:t>Maximum turns retained per session</w:t>
            </w:r>
          </w:p>
        </w:tc>
        <w:tc>
          <w:tcPr>
            <w:tcW w:type="dxa" w:w="5040"/>
            <w:vAlign w:val="center"/>
          </w:tcPr>
          <w:p>
            <w:r/>
            <w:r>
              <w:t>12</w:t>
            </w:r>
          </w:p>
        </w:tc>
      </w:tr>
      <w:tr>
        <w:tc>
          <w:tcPr>
            <w:tcW w:type="dxa" w:w="5040"/>
            <w:vAlign w:val="center"/>
          </w:tcPr>
          <w:p>
            <w:r/>
            <w:r>
              <w:t>Conversation context expiry</w:t>
            </w:r>
          </w:p>
        </w:tc>
        <w:tc>
          <w:tcPr>
            <w:tcW w:type="dxa" w:w="5040"/>
            <w:vAlign w:val="center"/>
          </w:tcPr>
          <w:p>
            <w:r/>
            <w:r>
              <w:t>30 minutes</w:t>
            </w:r>
          </w:p>
        </w:tc>
      </w:tr>
      <w:tr>
        <w:tc>
          <w:tcPr>
            <w:tcW w:type="dxa" w:w="5040"/>
            <w:vAlign w:val="center"/>
          </w:tcPr>
          <w:p>
            <w:r/>
            <w:r>
              <w:t>Registered demo scenarios auto-loaded</w:t>
            </w:r>
          </w:p>
        </w:tc>
        <w:tc>
          <w:tcPr>
            <w:tcW w:type="dxa" w:w="5040"/>
            <w:vAlign w:val="center"/>
          </w:tcPr>
          <w:p>
            <w:r/>
            <w:r>
              <w:t>Yes</w:t>
            </w:r>
          </w:p>
        </w:tc>
      </w:tr>
    </w:tbl>
    <w:p>
      <w:pPr>
        <w:spacing w:after="40"/>
      </w:pPr>
    </w:p>
    <w:p>
      <w:r>
        <w:t>When an asset changes, stale signal context is discarded. A user cannot inject reserved internal context keys. A conversation can be explicitly reset.</w:t>
      </w:r>
    </w:p>
    <w:p>
      <w:pPr>
        <w:pStyle w:val="Heading2"/>
      </w:pPr>
      <w:r>
        <w:t>11. RAG, citations and LLM policy</w:t>
      </w:r>
    </w:p>
    <w:p>
      <w:pPr>
        <w:pStyle w:val="Heading3"/>
      </w:pPr>
      <w:r>
        <w:t>11.1 What RAG is used for</w:t>
      </w:r>
    </w:p>
    <w:p>
      <w:r>
        <w:t>RAG retrieves approved procedures, glossary content and validated learned cases. The default local corpus includes bearing fault SOPs, preventive maintenance, sensor replacement, post-repair QA, learned cases and an approved reliability glossary. Azure AI Search can replace the local retriever when configured.</w:t>
      </w:r>
    </w:p>
    <w:p>
      <w:r>
        <w:t>Current business retrieval defaults:</w:t>
      </w:r>
    </w:p>
    <w:tbl>
      <w:tblPr>
        <w:tblStyle w:val="TableGrid"/>
        <w:tblW w:type="auto" w:w="0"/>
        <w:tblLayout w:type="autofit"/>
        <w:tblLook w:firstColumn="1" w:firstRow="1" w:lastColumn="0" w:lastRow="0" w:noHBand="0" w:noVBand="1" w:val="04A0"/>
      </w:tblPr>
      <w:tblGrid>
        <w:gridCol w:w="5040"/>
        <w:gridCol w:w="5040"/>
      </w:tblGrid>
      <w:tr>
        <w:tc>
          <w:tcPr>
            <w:tcW w:type="dxa" w:w="5040"/>
            <w:vAlign w:val="center"/>
            <w:shd w:fill="D9EAF7"/>
          </w:tcPr>
          <w:p>
            <w:r>
              <w:rPr>
                <w:b/>
              </w:rPr>
            </w:r>
            <w:r>
              <w:rPr>
                <w:b/>
              </w:rPr>
              <w:t>Policy</w:t>
            </w:r>
          </w:p>
        </w:tc>
        <w:tc>
          <w:tcPr>
            <w:tcW w:type="dxa" w:w="5040"/>
            <w:vAlign w:val="center"/>
            <w:shd w:fill="D9EAF7"/>
          </w:tcPr>
          <w:p>
            <w:r>
              <w:rPr>
                <w:b/>
              </w:rPr>
            </w:r>
            <w:r>
              <w:rPr>
                <w:b/>
              </w:rPr>
              <w:t>Default</w:t>
            </w:r>
          </w:p>
        </w:tc>
      </w:tr>
      <w:tr>
        <w:tc>
          <w:tcPr>
            <w:tcW w:type="dxa" w:w="5040"/>
            <w:vAlign w:val="center"/>
          </w:tcPr>
          <w:p>
            <w:r/>
            <w:r>
              <w:t>Case/SOP results considered</w:t>
            </w:r>
          </w:p>
        </w:tc>
        <w:tc>
          <w:tcPr>
            <w:tcW w:type="dxa" w:w="5040"/>
            <w:vAlign w:val="center"/>
          </w:tcPr>
          <w:p>
            <w:r/>
            <w:r>
              <w:t>Top 5</w:t>
            </w:r>
          </w:p>
        </w:tc>
      </w:tr>
      <w:tr>
        <w:tc>
          <w:tcPr>
            <w:tcW w:type="dxa" w:w="5040"/>
            <w:vAlign w:val="center"/>
          </w:tcPr>
          <w:p>
            <w:r/>
            <w:r>
              <w:t>Minimum relevance score</w:t>
            </w:r>
          </w:p>
        </w:tc>
        <w:tc>
          <w:tcPr>
            <w:tcW w:type="dxa" w:w="5040"/>
            <w:vAlign w:val="center"/>
          </w:tcPr>
          <w:p>
            <w:r/>
            <w:r>
              <w:t>0.45</w:t>
            </w:r>
          </w:p>
        </w:tc>
      </w:tr>
      <w:tr>
        <w:tc>
          <w:tcPr>
            <w:tcW w:type="dxa" w:w="5040"/>
            <w:vAlign w:val="center"/>
          </w:tcPr>
          <w:p>
            <w:r/>
            <w:r>
              <w:t>Fault-mode match boost</w:t>
            </w:r>
          </w:p>
        </w:tc>
        <w:tc>
          <w:tcPr>
            <w:tcW w:type="dxa" w:w="5040"/>
            <w:vAlign w:val="center"/>
          </w:tcPr>
          <w:p>
            <w:r/>
            <w:r>
              <w:t>0.25</w:t>
            </w:r>
          </w:p>
        </w:tc>
      </w:tr>
      <w:tr>
        <w:tc>
          <w:tcPr>
            <w:tcW w:type="dxa" w:w="5040"/>
            <w:vAlign w:val="center"/>
          </w:tcPr>
          <w:p>
            <w:r/>
            <w:r>
              <w:t>Asset-type match boost</w:t>
            </w:r>
          </w:p>
        </w:tc>
        <w:tc>
          <w:tcPr>
            <w:tcW w:type="dxa" w:w="5040"/>
            <w:vAlign w:val="center"/>
          </w:tcPr>
          <w:p>
            <w:r/>
            <w:r>
              <w:t>0.15</w:t>
            </w:r>
          </w:p>
        </w:tc>
      </w:tr>
      <w:tr>
        <w:tc>
          <w:tcPr>
            <w:tcW w:type="dxa" w:w="5040"/>
            <w:vAlign w:val="center"/>
          </w:tcPr>
          <w:p>
            <w:r/>
            <w:r>
              <w:t>ISO-stage match boost</w:t>
            </w:r>
          </w:p>
        </w:tc>
        <w:tc>
          <w:tcPr>
            <w:tcW w:type="dxa" w:w="5040"/>
            <w:vAlign w:val="center"/>
          </w:tcPr>
          <w:p>
            <w:r/>
            <w:r>
              <w:t>0.10</w:t>
            </w:r>
          </w:p>
        </w:tc>
      </w:tr>
      <w:tr>
        <w:tc>
          <w:tcPr>
            <w:tcW w:type="dxa" w:w="5040"/>
            <w:vAlign w:val="center"/>
          </w:tcPr>
          <w:p>
            <w:r/>
            <w:r>
              <w:t>Source required</w:t>
            </w:r>
          </w:p>
        </w:tc>
        <w:tc>
          <w:tcPr>
            <w:tcW w:type="dxa" w:w="5040"/>
            <w:vAlign w:val="center"/>
          </w:tcPr>
          <w:p>
            <w:r/>
            <w:r>
              <w:t>Yes</w:t>
            </w:r>
          </w:p>
        </w:tc>
      </w:tr>
      <w:tr>
        <w:tc>
          <w:tcPr>
            <w:tcW w:type="dxa" w:w="5040"/>
            <w:vAlign w:val="center"/>
          </w:tcPr>
          <w:p>
            <w:r/>
            <w:r>
              <w:t>Generic approved documents allowed</w:t>
            </w:r>
          </w:p>
        </w:tc>
        <w:tc>
          <w:tcPr>
            <w:tcW w:type="dxa" w:w="5040"/>
            <w:vAlign w:val="center"/>
          </w:tcPr>
          <w:p>
            <w:r/>
            <w:r>
              <w:t>Yes</w:t>
            </w:r>
          </w:p>
        </w:tc>
      </w:tr>
      <w:tr>
        <w:tc>
          <w:tcPr>
            <w:tcW w:type="dxa" w:w="5040"/>
            <w:vAlign w:val="center"/>
          </w:tcPr>
          <w:p>
            <w:r/>
            <w:r>
              <w:t>Open-ended search candidates</w:t>
            </w:r>
          </w:p>
        </w:tc>
        <w:tc>
          <w:tcPr>
            <w:tcW w:type="dxa" w:w="5040"/>
            <w:vAlign w:val="center"/>
          </w:tcPr>
          <w:p>
            <w:r/>
            <w:r>
              <w:t>Top 8</w:t>
            </w:r>
          </w:p>
        </w:tc>
      </w:tr>
      <w:tr>
        <w:tc>
          <w:tcPr>
            <w:tcW w:type="dxa" w:w="5040"/>
            <w:vAlign w:val="center"/>
          </w:tcPr>
          <w:p>
            <w:r/>
            <w:r>
              <w:t>Open-ended passages in answer</w:t>
            </w:r>
          </w:p>
        </w:tc>
        <w:tc>
          <w:tcPr>
            <w:tcW w:type="dxa" w:w="5040"/>
            <w:vAlign w:val="center"/>
          </w:tcPr>
          <w:p>
            <w:r/>
            <w:r>
              <w:t>Maximum 3</w:t>
            </w:r>
          </w:p>
        </w:tc>
      </w:tr>
      <w:tr>
        <w:tc>
          <w:tcPr>
            <w:tcW w:type="dxa" w:w="5040"/>
            <w:vAlign w:val="center"/>
          </w:tcPr>
          <w:p>
            <w:r/>
            <w:r>
              <w:t>Open-ended answer length</w:t>
            </w:r>
          </w:p>
        </w:tc>
        <w:tc>
          <w:tcPr>
            <w:tcW w:type="dxa" w:w="5040"/>
            <w:vAlign w:val="center"/>
          </w:tcPr>
          <w:p>
            <w:r/>
            <w:r>
              <w:t>Maximum 1,600 characters</w:t>
            </w:r>
          </w:p>
        </w:tc>
      </w:tr>
    </w:tbl>
    <w:p>
      <w:pPr>
        <w:spacing w:after="40"/>
      </w:pPr>
    </w:p>
    <w:p>
      <w:r>
        <w:t>Every open-ended knowledge answer should identify its sources. If retrieval is missing, irrelevant, denied or timed out, the system refuses to create an uncited plant claim.</w:t>
      </w:r>
    </w:p>
    <w:p>
      <w:pPr>
        <w:pStyle w:val="Heading3"/>
      </w:pPr>
      <w:r>
        <w:t>11.2 What the LLM may and may not do</w:t>
      </w:r>
    </w:p>
    <w:p>
      <w:r>
        <w:t>The LLM may:</w:t>
      </w:r>
    </w:p>
    <w:p>
      <w:pPr>
        <w:pStyle w:val="ListBullet"/>
      </w:pPr>
      <w:r>
        <w:t>write an advisory for an undetermined risk case;</w:t>
      </w:r>
    </w:p>
    <w:p>
      <w:pPr>
        <w:pStyle w:val="ListBullet"/>
      </w:pPr>
      <w:r>
        <w:t>synthesize cited conceptual knowledge;</w:t>
      </w:r>
    </w:p>
    <w:p>
      <w:pPr>
        <w:pStyle w:val="ListBullet"/>
      </w:pPr>
      <w:r>
        <w:t>improve the wording of an Agent 6 rationale;</w:t>
      </w:r>
    </w:p>
    <w:p>
      <w:pPr>
        <w:pStyle w:val="ListBullet"/>
      </w:pPr>
      <w:r>
        <w:t>draft a narrative from validated Agent 8 feedback;</w:t>
      </w:r>
    </w:p>
    <w:p>
      <w:pPr>
        <w:pStyle w:val="ListBullet"/>
      </w:pPr>
      <w:r>
        <w:t>improve final response clarity when reflection LLM use is enabled.</w:t>
      </w:r>
    </w:p>
    <w:p>
      <w:r>
        <w:t>The LLM may not:</w:t>
      </w:r>
    </w:p>
    <w:p>
      <w:pPr>
        <w:pStyle w:val="ListBullet"/>
      </w:pPr>
      <w:r>
        <w:t>create sensor readings;</w:t>
      </w:r>
    </w:p>
    <w:p>
      <w:pPr>
        <w:pStyle w:val="ListBullet"/>
      </w:pPr>
      <w:r>
        <w:t>assign a fault without governed evidence;</w:t>
      </w:r>
    </w:p>
    <w:p>
      <w:pPr>
        <w:pStyle w:val="ListBullet"/>
      </w:pPr>
      <w:r>
        <w:t>change deterministic RUL/probability/cost calculations;</w:t>
      </w:r>
    </w:p>
    <w:p>
      <w:pPr>
        <w:pStyle w:val="ListBullet"/>
      </w:pPr>
      <w:r>
        <w:t>approve maintenance;</w:t>
      </w:r>
    </w:p>
    <w:p>
      <w:pPr>
        <w:pStyle w:val="ListBullet"/>
      </w:pPr>
      <w:r>
        <w:t>invent an SOP citation;</w:t>
      </w:r>
    </w:p>
    <w:p>
      <w:pPr>
        <w:pStyle w:val="ListBullet"/>
      </w:pPr>
      <w:r>
        <w:t>mark work complete;</w:t>
      </w:r>
    </w:p>
    <w:p>
      <w:pPr>
        <w:pStyle w:val="ListBullet"/>
      </w:pPr>
      <w:r>
        <w:t>convert unvalidated commentary into learned truth.</w:t>
      </w:r>
    </w:p>
    <w:p>
      <w:r>
        <w:t>Cloud LLM credentials are optional. Deterministic operation remains available without them.</w:t>
      </w:r>
    </w:p>
    <w:p>
      <w:pPr>
        <w:pStyle w:val="Heading2"/>
      </w:pPr>
      <w:r>
        <w:t>12. Current default business policies</w:t>
      </w:r>
    </w:p>
    <w:p>
      <w:pPr>
        <w:pStyle w:val="Heading3"/>
      </w:pPr>
      <w:r>
        <w:t>12.1 Data and monitoring</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shd w:fill="D9EAF7"/>
          </w:tcPr>
          <w:p>
            <w:r>
              <w:rPr>
                <w:b/>
              </w:rPr>
            </w:r>
            <w:r>
              <w:rPr>
                <w:b/>
              </w:rPr>
              <w:t>Policy</w:t>
            </w:r>
          </w:p>
        </w:tc>
        <w:tc>
          <w:tcPr>
            <w:tcW w:type="dxa" w:w="3360"/>
            <w:vAlign w:val="center"/>
            <w:shd w:fill="D9EAF7"/>
          </w:tcPr>
          <w:p>
            <w:r>
              <w:rPr>
                <w:b/>
              </w:rPr>
            </w:r>
            <w:r>
              <w:rPr>
                <w:b/>
              </w:rPr>
              <w:t>Default</w:t>
            </w:r>
          </w:p>
        </w:tc>
        <w:tc>
          <w:tcPr>
            <w:tcW w:type="dxa" w:w="3360"/>
            <w:vAlign w:val="center"/>
            <w:shd w:fill="D9EAF7"/>
          </w:tcPr>
          <w:p>
            <w:r>
              <w:rPr>
                <w:b/>
              </w:rPr>
            </w:r>
            <w:r>
              <w:rPr>
                <w:b/>
              </w:rPr>
              <w:t>Business implication</w:t>
            </w:r>
          </w:p>
        </w:tc>
      </w:tr>
      <w:tr>
        <w:tc>
          <w:tcPr>
            <w:tcW w:type="dxa" w:w="3360"/>
            <w:vAlign w:val="center"/>
          </w:tcPr>
          <w:p>
            <w:r/>
            <w:r>
              <w:t>Minimum signal quality</w:t>
            </w:r>
          </w:p>
        </w:tc>
        <w:tc>
          <w:tcPr>
            <w:tcW w:type="dxa" w:w="3360"/>
            <w:vAlign w:val="center"/>
          </w:tcPr>
          <w:p>
            <w:r/>
            <w:r>
              <w:t>0.50</w:t>
            </w:r>
          </w:p>
        </w:tc>
        <w:tc>
          <w:tcPr>
            <w:tcW w:type="dxa" w:w="3360"/>
            <w:vAlign w:val="center"/>
          </w:tcPr>
          <w:p>
            <w:r/>
            <w:r>
              <w:t>Lower-quality records go to review</w:t>
            </w:r>
          </w:p>
        </w:tc>
      </w:tr>
      <w:tr>
        <w:tc>
          <w:tcPr>
            <w:tcW w:type="dxa" w:w="3360"/>
            <w:vAlign w:val="center"/>
          </w:tcPr>
          <w:p>
            <w:r/>
            <w:r>
              <w:t>Live data maximum age</w:t>
            </w:r>
          </w:p>
        </w:tc>
        <w:tc>
          <w:tcPr>
            <w:tcW w:type="dxa" w:w="3360"/>
            <w:vAlign w:val="center"/>
          </w:tcPr>
          <w:p>
            <w:r/>
            <w:r>
              <w:t>5 minutes</w:t>
            </w:r>
          </w:p>
        </w:tc>
        <w:tc>
          <w:tcPr>
            <w:tcW w:type="dxa" w:w="3360"/>
            <w:vAlign w:val="center"/>
          </w:tcPr>
          <w:p>
            <w:r/>
            <w:r>
              <w:t>Stale live decisions are blocked</w:t>
            </w:r>
          </w:p>
        </w:tc>
      </w:tr>
      <w:tr>
        <w:tc>
          <w:tcPr>
            <w:tcW w:type="dxa" w:w="3360"/>
            <w:vAlign w:val="center"/>
          </w:tcPr>
          <w:p>
            <w:r/>
            <w:r>
              <w:t>Future timestamp tolerance</w:t>
            </w:r>
          </w:p>
        </w:tc>
        <w:tc>
          <w:tcPr>
            <w:tcW w:type="dxa" w:w="3360"/>
            <w:vAlign w:val="center"/>
          </w:tcPr>
          <w:p>
            <w:r/>
            <w:r>
              <w:t>30 seconds</w:t>
            </w:r>
          </w:p>
        </w:tc>
        <w:tc>
          <w:tcPr>
            <w:tcW w:type="dxa" w:w="3360"/>
            <w:vAlign w:val="center"/>
          </w:tcPr>
          <w:p>
            <w:r/>
            <w:r>
              <w:t>Small clock skew is allowed</w:t>
            </w:r>
          </w:p>
        </w:tc>
      </w:tr>
      <w:tr>
        <w:tc>
          <w:tcPr>
            <w:tcW w:type="dxa" w:w="3360"/>
            <w:vAlign w:val="center"/>
          </w:tcPr>
          <w:p>
            <w:r/>
            <w:r>
              <w:t>Overall quality threshold</w:t>
            </w:r>
          </w:p>
        </w:tc>
        <w:tc>
          <w:tcPr>
            <w:tcW w:type="dxa" w:w="3360"/>
            <w:vAlign w:val="center"/>
          </w:tcPr>
          <w:p>
            <w:r/>
            <w:r>
              <w:t>0.80</w:t>
            </w:r>
          </w:p>
        </w:tc>
        <w:tc>
          <w:tcPr>
            <w:tcW w:type="dxa" w:w="3360"/>
            <w:vAlign w:val="center"/>
          </w:tcPr>
          <w:p>
            <w:r/>
            <w:r>
              <w:t>Lower-scoring records are flagged</w:t>
            </w:r>
          </w:p>
        </w:tc>
      </w:tr>
      <w:tr>
        <w:tc>
          <w:tcPr>
            <w:tcW w:type="dxa" w:w="3360"/>
            <w:vAlign w:val="center"/>
          </w:tcPr>
          <w:p>
            <w:r/>
            <w:r>
              <w:t>Running minimum speed</w:t>
            </w:r>
          </w:p>
        </w:tc>
        <w:tc>
          <w:tcPr>
            <w:tcW w:type="dxa" w:w="3360"/>
            <w:vAlign w:val="center"/>
          </w:tcPr>
          <w:p>
            <w:r/>
            <w:r>
              <w:t>50 RPM</w:t>
            </w:r>
          </w:p>
        </w:tc>
        <w:tc>
          <w:tcPr>
            <w:tcW w:type="dxa" w:w="3360"/>
            <w:vAlign w:val="center"/>
          </w:tcPr>
          <w:p>
            <w:r/>
            <w:r>
              <w:t>Running below this is inconsistent/suppressed</w:t>
            </w:r>
          </w:p>
        </w:tc>
      </w:tr>
      <w:tr>
        <w:tc>
          <w:tcPr>
            <w:tcW w:type="dxa" w:w="3360"/>
            <w:vAlign w:val="center"/>
          </w:tcPr>
          <w:p>
            <w:r/>
            <w:r>
              <w:t>Anomaly threshold</w:t>
            </w:r>
          </w:p>
        </w:tc>
        <w:tc>
          <w:tcPr>
            <w:tcW w:type="dxa" w:w="3360"/>
            <w:vAlign w:val="center"/>
          </w:tcPr>
          <w:p>
            <w:r/>
            <w:r>
              <w:t>0.85</w:t>
            </w:r>
          </w:p>
        </w:tc>
        <w:tc>
          <w:tcPr>
            <w:tcW w:type="dxa" w:w="3360"/>
            <w:vAlign w:val="center"/>
          </w:tcPr>
          <w:p>
            <w:r/>
            <w:r>
              <w:t>Hotelling score at/above policy creates anomaly</w:t>
            </w:r>
          </w:p>
        </w:tc>
      </w:tr>
      <w:tr>
        <w:tc>
          <w:tcPr>
            <w:tcW w:type="dxa" w:w="3360"/>
            <w:vAlign w:val="center"/>
          </w:tcPr>
          <w:p>
            <w:r/>
            <w:r>
              <w:t>EWMA enabled</w:t>
            </w:r>
          </w:p>
        </w:tc>
        <w:tc>
          <w:tcPr>
            <w:tcW w:type="dxa" w:w="3360"/>
            <w:vAlign w:val="center"/>
          </w:tcPr>
          <w:p>
            <w:r/>
            <w:r>
              <w:t>Yes</w:t>
            </w:r>
          </w:p>
        </w:tc>
        <w:tc>
          <w:tcPr>
            <w:tcW w:type="dxa" w:w="3360"/>
            <w:vAlign w:val="center"/>
          </w:tcPr>
          <w:p>
            <w:r/>
            <w:r>
              <w:t>Slow degradation is tracked</w:t>
            </w:r>
          </w:p>
        </w:tc>
      </w:tr>
      <w:tr>
        <w:tc>
          <w:tcPr>
            <w:tcW w:type="dxa" w:w="3360"/>
            <w:vAlign w:val="center"/>
          </w:tcPr>
          <w:p>
            <w:r/>
            <w:r>
              <w:t>Consecutive anomalies required</w:t>
            </w:r>
          </w:p>
        </w:tc>
        <w:tc>
          <w:tcPr>
            <w:tcW w:type="dxa" w:w="3360"/>
            <w:vAlign w:val="center"/>
          </w:tcPr>
          <w:p>
            <w:r/>
            <w:r>
              <w:t>1</w:t>
            </w:r>
          </w:p>
        </w:tc>
        <w:tc>
          <w:tcPr>
            <w:tcW w:type="dxa" w:w="3360"/>
            <w:vAlign w:val="center"/>
          </w:tcPr>
          <w:p>
            <w:r/>
            <w:r>
              <w:t>First qualifying anomaly can proceed</w:t>
            </w:r>
          </w:p>
        </w:tc>
      </w:tr>
      <w:tr>
        <w:tc>
          <w:tcPr>
            <w:tcW w:type="dxa" w:w="3360"/>
            <w:vAlign w:val="center"/>
          </w:tcPr>
          <w:p>
            <w:r/>
            <w:r>
              <w:t>Alert cooldown</w:t>
            </w:r>
          </w:p>
        </w:tc>
        <w:tc>
          <w:tcPr>
            <w:tcW w:type="dxa" w:w="3360"/>
            <w:vAlign w:val="center"/>
          </w:tcPr>
          <w:p>
            <w:r/>
            <w:r>
              <w:t>0 seconds</w:t>
            </w:r>
          </w:p>
        </w:tc>
        <w:tc>
          <w:tcPr>
            <w:tcW w:type="dxa" w:w="3360"/>
            <w:vAlign w:val="center"/>
          </w:tcPr>
          <w:p>
            <w:r/>
            <w:r>
              <w:t>No default suppression window</w:t>
            </w:r>
          </w:p>
        </w:tc>
      </w:tr>
    </w:tbl>
    <w:p>
      <w:pPr>
        <w:spacing w:after="40"/>
      </w:pPr>
    </w:p>
    <w:p>
      <w:pPr>
        <w:pStyle w:val="Heading3"/>
      </w:pPr>
      <w:r>
        <w:t>12.2 Risk and RUL</w:t>
      </w:r>
    </w:p>
    <w:p>
      <w:r>
        <w:t>Default RUL values are policy/taxonomy values, not an OEM warranty:</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vAlign w:val="center"/>
            <w:shd w:fill="D9EAF7"/>
          </w:tcPr>
          <w:p>
            <w:r>
              <w:rPr>
                <w:b/>
              </w:rPr>
            </w:r>
            <w:r>
              <w:rPr>
                <w:b/>
              </w:rPr>
              <w:t>Fault</w:t>
            </w:r>
          </w:p>
        </w:tc>
        <w:tc>
          <w:tcPr>
            <w:tcW w:type="dxa" w:w="2520"/>
            <w:vAlign w:val="center"/>
            <w:shd w:fill="D9EAF7"/>
          </w:tcPr>
          <w:p>
            <w:r>
              <w:rPr>
                <w:b/>
              </w:rPr>
            </w:r>
            <w:r>
              <w:rPr>
                <w:b/>
              </w:rPr>
              <w:t>Stage 1</w:t>
            </w:r>
          </w:p>
        </w:tc>
        <w:tc>
          <w:tcPr>
            <w:tcW w:type="dxa" w:w="2520"/>
            <w:vAlign w:val="center"/>
            <w:shd w:fill="D9EAF7"/>
          </w:tcPr>
          <w:p>
            <w:r>
              <w:rPr>
                <w:b/>
              </w:rPr>
            </w:r>
            <w:r>
              <w:rPr>
                <w:b/>
              </w:rPr>
              <w:t>Stage 2</w:t>
            </w:r>
          </w:p>
        </w:tc>
        <w:tc>
          <w:tcPr>
            <w:tcW w:type="dxa" w:w="2520"/>
            <w:vAlign w:val="center"/>
            <w:shd w:fill="D9EAF7"/>
          </w:tcPr>
          <w:p>
            <w:r>
              <w:rPr>
                <w:b/>
              </w:rPr>
            </w:r>
            <w:r>
              <w:rPr>
                <w:b/>
              </w:rPr>
              <w:t>Stage 3</w:t>
            </w:r>
          </w:p>
        </w:tc>
      </w:tr>
      <w:tr>
        <w:tc>
          <w:tcPr>
            <w:tcW w:type="dxa" w:w="2520"/>
            <w:vAlign w:val="center"/>
          </w:tcPr>
          <w:p>
            <w:r/>
            <w:r>
              <w:t>Outer-race</w:t>
            </w:r>
          </w:p>
        </w:tc>
        <w:tc>
          <w:tcPr>
            <w:tcW w:type="dxa" w:w="2520"/>
            <w:vAlign w:val="center"/>
          </w:tcPr>
          <w:p>
            <w:r/>
            <w:r>
              <w:t>90 days</w:t>
            </w:r>
          </w:p>
        </w:tc>
        <w:tc>
          <w:tcPr>
            <w:tcW w:type="dxa" w:w="2520"/>
            <w:vAlign w:val="center"/>
          </w:tcPr>
          <w:p>
            <w:r/>
            <w:r>
              <w:t>30 days</w:t>
            </w:r>
          </w:p>
        </w:tc>
        <w:tc>
          <w:tcPr>
            <w:tcW w:type="dxa" w:w="2520"/>
            <w:vAlign w:val="center"/>
          </w:tcPr>
          <w:p>
            <w:r/>
            <w:r>
              <w:t>7 days</w:t>
            </w:r>
          </w:p>
        </w:tc>
      </w:tr>
      <w:tr>
        <w:tc>
          <w:tcPr>
            <w:tcW w:type="dxa" w:w="2520"/>
            <w:vAlign w:val="center"/>
          </w:tcPr>
          <w:p>
            <w:r/>
            <w:r>
              <w:t>Inner-race</w:t>
            </w:r>
          </w:p>
        </w:tc>
        <w:tc>
          <w:tcPr>
            <w:tcW w:type="dxa" w:w="2520"/>
            <w:vAlign w:val="center"/>
          </w:tcPr>
          <w:p>
            <w:r/>
            <w:r>
              <w:t>80 days</w:t>
            </w:r>
          </w:p>
        </w:tc>
        <w:tc>
          <w:tcPr>
            <w:tcW w:type="dxa" w:w="2520"/>
            <w:vAlign w:val="center"/>
          </w:tcPr>
          <w:p>
            <w:r/>
            <w:r>
              <w:t>25 days</w:t>
            </w:r>
          </w:p>
        </w:tc>
        <w:tc>
          <w:tcPr>
            <w:tcW w:type="dxa" w:w="2520"/>
            <w:vAlign w:val="center"/>
          </w:tcPr>
          <w:p>
            <w:r/>
            <w:r>
              <w:t>5 days</w:t>
            </w:r>
          </w:p>
        </w:tc>
      </w:tr>
      <w:tr>
        <w:tc>
          <w:tcPr>
            <w:tcW w:type="dxa" w:w="2520"/>
            <w:vAlign w:val="center"/>
          </w:tcPr>
          <w:p>
            <w:r/>
            <w:r>
              <w:t>Lubrication</w:t>
            </w:r>
          </w:p>
        </w:tc>
        <w:tc>
          <w:tcPr>
            <w:tcW w:type="dxa" w:w="2520"/>
            <w:vAlign w:val="center"/>
          </w:tcPr>
          <w:p>
            <w:r/>
            <w:r>
              <w:t>60 days</w:t>
            </w:r>
          </w:p>
        </w:tc>
        <w:tc>
          <w:tcPr>
            <w:tcW w:type="dxa" w:w="2520"/>
            <w:vAlign w:val="center"/>
          </w:tcPr>
          <w:p>
            <w:r/>
            <w:r>
              <w:t>20 days</w:t>
            </w:r>
          </w:p>
        </w:tc>
        <w:tc>
          <w:tcPr>
            <w:tcW w:type="dxa" w:w="2520"/>
            <w:vAlign w:val="center"/>
          </w:tcPr>
          <w:p>
            <w:r/>
            <w:r>
              <w:t>5 days</w:t>
            </w:r>
          </w:p>
        </w:tc>
      </w:tr>
      <w:tr>
        <w:tc>
          <w:tcPr>
            <w:tcW w:type="dxa" w:w="2520"/>
            <w:vAlign w:val="center"/>
          </w:tcPr>
          <w:p>
            <w:r/>
            <w:r>
              <w:t>Cage</w:t>
            </w:r>
          </w:p>
        </w:tc>
        <w:tc>
          <w:tcPr>
            <w:tcW w:type="dxa" w:w="2520"/>
            <w:vAlign w:val="center"/>
          </w:tcPr>
          <w:p>
            <w:r/>
            <w:r>
              <w:t>75 days</w:t>
            </w:r>
          </w:p>
        </w:tc>
        <w:tc>
          <w:tcPr>
            <w:tcW w:type="dxa" w:w="2520"/>
            <w:vAlign w:val="center"/>
          </w:tcPr>
          <w:p>
            <w:r/>
            <w:r>
              <w:t>20 days</w:t>
            </w:r>
          </w:p>
        </w:tc>
        <w:tc>
          <w:tcPr>
            <w:tcW w:type="dxa" w:w="2520"/>
            <w:vAlign w:val="center"/>
          </w:tcPr>
          <w:p>
            <w:r/>
            <w:r>
              <w:t>4 days</w:t>
            </w:r>
          </w:p>
        </w:tc>
      </w:tr>
      <w:tr>
        <w:tc>
          <w:tcPr>
            <w:tcW w:type="dxa" w:w="2520"/>
            <w:vAlign w:val="center"/>
          </w:tcPr>
          <w:p>
            <w:r/>
            <w:r>
              <w:t>Rolling-element</w:t>
            </w:r>
          </w:p>
        </w:tc>
        <w:tc>
          <w:tcPr>
            <w:tcW w:type="dxa" w:w="2520"/>
            <w:vAlign w:val="center"/>
          </w:tcPr>
          <w:p>
            <w:r/>
            <w:r>
              <w:t>90 days</w:t>
            </w:r>
          </w:p>
        </w:tc>
        <w:tc>
          <w:tcPr>
            <w:tcW w:type="dxa" w:w="2520"/>
            <w:vAlign w:val="center"/>
          </w:tcPr>
          <w:p>
            <w:r/>
            <w:r>
              <w:t>30 days</w:t>
            </w:r>
          </w:p>
        </w:tc>
        <w:tc>
          <w:tcPr>
            <w:tcW w:type="dxa" w:w="2520"/>
            <w:vAlign w:val="center"/>
          </w:tcPr>
          <w:p>
            <w:r/>
            <w:r>
              <w:t>10 days</w:t>
            </w:r>
          </w:p>
        </w:tc>
      </w:tr>
    </w:tbl>
    <w:p>
      <w:pPr>
        <w:spacing w:after="40"/>
      </w:pPr>
    </w:p>
    <w:p>
      <w:r>
        <w:t xml:space="preserve">Undetermined faults use a </w:t>
      </w:r>
      <w:r>
        <w:rPr>
          <w:rFonts w:ascii="Consolas" w:hAnsi="Consolas"/>
          <w:color w:val="1F4E79"/>
          <w:sz w:val="18"/>
        </w:rPr>
        <w:t>45-999 day</w:t>
      </w:r>
      <w:r>
        <w:t xml:space="preserve"> monitor band and do not claim imminent financial exposure. Imbalance and misalignment exist in the taxonomy but are not actively detected because the required 1X/2X telemetry is absent.</w:t>
      </w:r>
    </w:p>
    <w:p>
      <w:r>
        <w:t>Failure probability blends 60% stage policy with 40% anomaly score. Stage base probabilities are 10%, 30%, 60% and 85% for stages 0-3.</w:t>
      </w:r>
    </w:p>
    <w:p>
      <w:pPr>
        <w:pStyle w:val="Heading3"/>
      </w:pPr>
      <w:r>
        <w:t>12.3 Action and urgency policy</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shd w:fill="D9EAF7"/>
          </w:tcPr>
          <w:p>
            <w:r>
              <w:rPr>
                <w:b/>
              </w:rPr>
            </w:r>
            <w:r>
              <w:rPr>
                <w:b/>
              </w:rPr>
              <w:t>Risk</w:t>
            </w:r>
          </w:p>
        </w:tc>
        <w:tc>
          <w:tcPr>
            <w:tcW w:type="dxa" w:w="3360"/>
            <w:vAlign w:val="center"/>
            <w:shd w:fill="D9EAF7"/>
          </w:tcPr>
          <w:p>
            <w:r>
              <w:rPr>
                <w:b/>
              </w:rPr>
            </w:r>
            <w:r>
              <w:rPr>
                <w:b/>
              </w:rPr>
              <w:t>First default action</w:t>
            </w:r>
          </w:p>
        </w:tc>
        <w:tc>
          <w:tcPr>
            <w:tcW w:type="dxa" w:w="3360"/>
            <w:vAlign w:val="center"/>
            <w:shd w:fill="D9EAF7"/>
          </w:tcPr>
          <w:p>
            <w:r>
              <w:rPr>
                <w:b/>
              </w:rPr>
            </w:r>
            <w:r>
              <w:rPr>
                <w:b/>
              </w:rPr>
              <w:t>Urgency</w:t>
            </w:r>
          </w:p>
        </w:tc>
      </w:tr>
      <w:tr>
        <w:tc>
          <w:tcPr>
            <w:tcW w:type="dxa" w:w="3360"/>
            <w:vAlign w:val="center"/>
          </w:tcPr>
          <w:p>
            <w:r/>
            <w:r>
              <w:t>Critical</w:t>
            </w:r>
          </w:p>
        </w:tc>
        <w:tc>
          <w:tcPr>
            <w:tcW w:type="dxa" w:w="3360"/>
            <w:vAlign w:val="center"/>
          </w:tcPr>
          <w:p>
            <w:r/>
            <w:r>
              <w:t>Stop and replace</w:t>
            </w:r>
          </w:p>
        </w:tc>
        <w:tc>
          <w:tcPr>
            <w:tcW w:type="dxa" w:w="3360"/>
            <w:vAlign w:val="center"/>
          </w:tcPr>
          <w:p>
            <w:r/>
            <w:r>
              <w:t>Immediate</w:t>
            </w:r>
          </w:p>
        </w:tc>
      </w:tr>
      <w:tr>
        <w:tc>
          <w:tcPr>
            <w:tcW w:type="dxa" w:w="3360"/>
            <w:vAlign w:val="center"/>
          </w:tcPr>
          <w:p>
            <w:r/>
            <w:r>
              <w:t>High</w:t>
            </w:r>
          </w:p>
        </w:tc>
        <w:tc>
          <w:tcPr>
            <w:tcW w:type="dxa" w:w="3360"/>
            <w:vAlign w:val="center"/>
          </w:tcPr>
          <w:p>
            <w:r/>
            <w:r>
              <w:t>Repair at next planned stop</w:t>
            </w:r>
          </w:p>
        </w:tc>
        <w:tc>
          <w:tcPr>
            <w:tcW w:type="dxa" w:w="3360"/>
            <w:vAlign w:val="center"/>
          </w:tcPr>
          <w:p>
            <w:r/>
            <w:r>
              <w:t>Urgent</w:t>
            </w:r>
          </w:p>
        </w:tc>
      </w:tr>
      <w:tr>
        <w:tc>
          <w:tcPr>
            <w:tcW w:type="dxa" w:w="3360"/>
            <w:vAlign w:val="center"/>
          </w:tcPr>
          <w:p>
            <w:r/>
            <w:r>
              <w:t>Medium</w:t>
            </w:r>
          </w:p>
        </w:tc>
        <w:tc>
          <w:tcPr>
            <w:tcW w:type="dxa" w:w="3360"/>
            <w:vAlign w:val="center"/>
          </w:tcPr>
          <w:p>
            <w:r/>
            <w:r>
              <w:t>Inspect next shift</w:t>
            </w:r>
          </w:p>
        </w:tc>
        <w:tc>
          <w:tcPr>
            <w:tcW w:type="dxa" w:w="3360"/>
            <w:vAlign w:val="center"/>
          </w:tcPr>
          <w:p>
            <w:r/>
            <w:r>
              <w:t>Planned</w:t>
            </w:r>
          </w:p>
        </w:tc>
      </w:tr>
      <w:tr>
        <w:tc>
          <w:tcPr>
            <w:tcW w:type="dxa" w:w="3360"/>
            <w:vAlign w:val="center"/>
          </w:tcPr>
          <w:p>
            <w:r/>
            <w:r>
              <w:t>Low</w:t>
            </w:r>
          </w:p>
        </w:tc>
        <w:tc>
          <w:tcPr>
            <w:tcW w:type="dxa" w:w="3360"/>
            <w:vAlign w:val="center"/>
          </w:tcPr>
          <w:p>
            <w:r/>
            <w:r>
              <w:t>Continue monitoring</w:t>
            </w:r>
          </w:p>
        </w:tc>
        <w:tc>
          <w:tcPr>
            <w:tcW w:type="dxa" w:w="3360"/>
            <w:vAlign w:val="center"/>
          </w:tcPr>
          <w:p>
            <w:r/>
            <w:r>
              <w:t>Monitor</w:t>
            </w:r>
          </w:p>
        </w:tc>
      </w:tr>
    </w:tbl>
    <w:p>
      <w:pPr>
        <w:spacing w:after="40"/>
      </w:pPr>
    </w:p>
    <w:p>
      <w:r>
        <w:t>Default nominal action durations:</w:t>
      </w:r>
    </w:p>
    <w:tbl>
      <w:tblPr>
        <w:tblStyle w:val="TableGrid"/>
        <w:tblW w:type="auto" w:w="0"/>
        <w:tblLayout w:type="autofit"/>
        <w:tblLook w:firstColumn="1" w:firstRow="1" w:lastColumn="0" w:lastRow="0" w:noHBand="0" w:noVBand="1" w:val="04A0"/>
      </w:tblPr>
      <w:tblGrid>
        <w:gridCol w:w="5040"/>
        <w:gridCol w:w="5040"/>
      </w:tblGrid>
      <w:tr>
        <w:tc>
          <w:tcPr>
            <w:tcW w:type="dxa" w:w="5040"/>
            <w:vAlign w:val="center"/>
            <w:shd w:fill="D9EAF7"/>
          </w:tcPr>
          <w:p>
            <w:r>
              <w:rPr>
                <w:b/>
              </w:rPr>
            </w:r>
            <w:r>
              <w:rPr>
                <w:b/>
              </w:rPr>
              <w:t>Action</w:t>
            </w:r>
          </w:p>
        </w:tc>
        <w:tc>
          <w:tcPr>
            <w:tcW w:type="dxa" w:w="5040"/>
            <w:vAlign w:val="center"/>
            <w:shd w:fill="D9EAF7"/>
          </w:tcPr>
          <w:p>
            <w:r>
              <w:rPr>
                <w:b/>
              </w:rPr>
            </w:r>
            <w:r>
              <w:rPr>
                <w:b/>
              </w:rPr>
              <w:t>Duration</w:t>
            </w:r>
          </w:p>
        </w:tc>
      </w:tr>
      <w:tr>
        <w:tc>
          <w:tcPr>
            <w:tcW w:type="dxa" w:w="5040"/>
            <w:vAlign w:val="center"/>
          </w:tcPr>
          <w:p>
            <w:r/>
            <w:r>
              <w:t>Continue monitoring</w:t>
            </w:r>
          </w:p>
        </w:tc>
        <w:tc>
          <w:tcPr>
            <w:tcW w:type="dxa" w:w="5040"/>
            <w:vAlign w:val="center"/>
          </w:tcPr>
          <w:p>
            <w:r/>
            <w:r>
              <w:t>0 h</w:t>
            </w:r>
          </w:p>
        </w:tc>
      </w:tr>
      <w:tr>
        <w:tc>
          <w:tcPr>
            <w:tcW w:type="dxa" w:w="5040"/>
            <w:vAlign w:val="center"/>
          </w:tcPr>
          <w:p>
            <w:r/>
            <w:r>
              <w:t>Inspect next shift</w:t>
            </w:r>
          </w:p>
        </w:tc>
        <w:tc>
          <w:tcPr>
            <w:tcW w:type="dxa" w:w="5040"/>
            <w:vAlign w:val="center"/>
          </w:tcPr>
          <w:p>
            <w:r/>
            <w:r>
              <w:t>2 h</w:t>
            </w:r>
          </w:p>
        </w:tc>
      </w:tr>
      <w:tr>
        <w:tc>
          <w:tcPr>
            <w:tcW w:type="dxa" w:w="5040"/>
            <w:vAlign w:val="center"/>
          </w:tcPr>
          <w:p>
            <w:r/>
            <w:r>
              <w:t>Repair at planned stop</w:t>
            </w:r>
          </w:p>
        </w:tc>
        <w:tc>
          <w:tcPr>
            <w:tcW w:type="dxa" w:w="5040"/>
            <w:vAlign w:val="center"/>
          </w:tcPr>
          <w:p>
            <w:r/>
            <w:r>
              <w:t>4 h</w:t>
            </w:r>
          </w:p>
        </w:tc>
      </w:tr>
      <w:tr>
        <w:tc>
          <w:tcPr>
            <w:tcW w:type="dxa" w:w="5040"/>
            <w:vAlign w:val="center"/>
          </w:tcPr>
          <w:p>
            <w:r/>
            <w:r>
              <w:t>Derate and monitor</w:t>
            </w:r>
          </w:p>
        </w:tc>
        <w:tc>
          <w:tcPr>
            <w:tcW w:type="dxa" w:w="5040"/>
            <w:vAlign w:val="center"/>
          </w:tcPr>
          <w:p>
            <w:r/>
            <w:r>
              <w:t>0.5 h</w:t>
            </w:r>
          </w:p>
        </w:tc>
      </w:tr>
      <w:tr>
        <w:tc>
          <w:tcPr>
            <w:tcW w:type="dxa" w:w="5040"/>
            <w:vAlign w:val="center"/>
          </w:tcPr>
          <w:p>
            <w:r/>
            <w:r>
              <w:t>Stop and replace</w:t>
            </w:r>
          </w:p>
        </w:tc>
        <w:tc>
          <w:tcPr>
            <w:tcW w:type="dxa" w:w="5040"/>
            <w:vAlign w:val="center"/>
          </w:tcPr>
          <w:p>
            <w:r/>
            <w:r>
              <w:t>6 h</w:t>
            </w:r>
          </w:p>
        </w:tc>
      </w:tr>
      <w:tr>
        <w:tc>
          <w:tcPr>
            <w:tcW w:type="dxa" w:w="5040"/>
            <w:vAlign w:val="center"/>
          </w:tcPr>
          <w:p>
            <w:r/>
            <w:r>
              <w:t>Lubrication service</w:t>
            </w:r>
          </w:p>
        </w:tc>
        <w:tc>
          <w:tcPr>
            <w:tcW w:type="dxa" w:w="5040"/>
            <w:vAlign w:val="center"/>
          </w:tcPr>
          <w:p>
            <w:r/>
            <w:r>
              <w:t>3 h</w:t>
            </w:r>
          </w:p>
        </w:tc>
      </w:tr>
    </w:tbl>
    <w:p>
      <w:pPr>
        <w:spacing w:after="40"/>
      </w:pPr>
    </w:p>
    <w:p>
      <w:r>
        <w:t>Repair, derating, stop/replace and lubrication service require approval by default. These policies are configurable and must be calibrated to plant rules.</w:t>
      </w:r>
    </w:p>
    <w:p>
      <w:pPr>
        <w:pStyle w:val="Heading3"/>
      </w:pPr>
      <w:r>
        <w:t>12.4 Cost and authority policy</w:t>
      </w:r>
    </w:p>
    <w:p>
      <w:r>
        <w:t>Currency is USD. Generic demo planned costs are parts plus labour; deferred cost uses a multiplier of 7.0. Current action figures include:</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vAlign w:val="center"/>
            <w:shd w:fill="D9EAF7"/>
          </w:tcPr>
          <w:p>
            <w:r>
              <w:rPr>
                <w:b/>
              </w:rPr>
            </w:r>
            <w:r>
              <w:rPr>
                <w:b/>
              </w:rPr>
              <w:t>Action</w:t>
            </w:r>
          </w:p>
        </w:tc>
        <w:tc>
          <w:tcPr>
            <w:tcW w:type="dxa" w:w="2520"/>
            <w:vAlign w:val="center"/>
            <w:shd w:fill="D9EAF7"/>
          </w:tcPr>
          <w:p>
            <w:r>
              <w:rPr>
                <w:b/>
              </w:rPr>
            </w:r>
            <w:r>
              <w:rPr>
                <w:b/>
              </w:rPr>
              <w:t>Parts</w:t>
            </w:r>
          </w:p>
        </w:tc>
        <w:tc>
          <w:tcPr>
            <w:tcW w:type="dxa" w:w="2520"/>
            <w:vAlign w:val="center"/>
            <w:shd w:fill="D9EAF7"/>
          </w:tcPr>
          <w:p>
            <w:r>
              <w:rPr>
                <w:b/>
              </w:rPr>
            </w:r>
            <w:r>
              <w:rPr>
                <w:b/>
              </w:rPr>
              <w:t>Labour</w:t>
            </w:r>
          </w:p>
        </w:tc>
        <w:tc>
          <w:tcPr>
            <w:tcW w:type="dxa" w:w="2520"/>
            <w:vAlign w:val="center"/>
            <w:shd w:fill="D9EAF7"/>
          </w:tcPr>
          <w:p>
            <w:r>
              <w:rPr>
                <w:b/>
              </w:rPr>
            </w:r>
            <w:r>
              <w:rPr>
                <w:b/>
              </w:rPr>
              <w:t>Planned total</w:t>
            </w:r>
          </w:p>
        </w:tc>
      </w:tr>
      <w:tr>
        <w:tc>
          <w:tcPr>
            <w:tcW w:type="dxa" w:w="2520"/>
            <w:vAlign w:val="center"/>
          </w:tcPr>
          <w:p>
            <w:r/>
            <w:r>
              <w:t>Stop/bearing replacement</w:t>
            </w:r>
          </w:p>
        </w:tc>
        <w:tc>
          <w:tcPr>
            <w:tcW w:type="dxa" w:w="2520"/>
            <w:vAlign w:val="center"/>
          </w:tcPr>
          <w:p>
            <w:r/>
            <w:r>
              <w:t>$8,000</w:t>
            </w:r>
          </w:p>
        </w:tc>
        <w:tc>
          <w:tcPr>
            <w:tcW w:type="dxa" w:w="2520"/>
            <w:vAlign w:val="center"/>
          </w:tcPr>
          <w:p>
            <w:r/>
            <w:r>
              <w:t>$12,000</w:t>
            </w:r>
          </w:p>
        </w:tc>
        <w:tc>
          <w:tcPr>
            <w:tcW w:type="dxa" w:w="2520"/>
            <w:vAlign w:val="center"/>
          </w:tcPr>
          <w:p>
            <w:r/>
            <w:r>
              <w:t>$20,000</w:t>
            </w:r>
          </w:p>
        </w:tc>
      </w:tr>
      <w:tr>
        <w:tc>
          <w:tcPr>
            <w:tcW w:type="dxa" w:w="2520"/>
            <w:vAlign w:val="center"/>
          </w:tcPr>
          <w:p>
            <w:r/>
            <w:r>
              <w:t>Repair next planned stop</w:t>
            </w:r>
          </w:p>
        </w:tc>
        <w:tc>
          <w:tcPr>
            <w:tcW w:type="dxa" w:w="2520"/>
            <w:vAlign w:val="center"/>
          </w:tcPr>
          <w:p>
            <w:r/>
            <w:r>
              <w:t>$6,000</w:t>
            </w:r>
          </w:p>
        </w:tc>
        <w:tc>
          <w:tcPr>
            <w:tcW w:type="dxa" w:w="2520"/>
            <w:vAlign w:val="center"/>
          </w:tcPr>
          <w:p>
            <w:r/>
            <w:r>
              <w:t>$9,000</w:t>
            </w:r>
          </w:p>
        </w:tc>
        <w:tc>
          <w:tcPr>
            <w:tcW w:type="dxa" w:w="2520"/>
            <w:vAlign w:val="center"/>
          </w:tcPr>
          <w:p>
            <w:r/>
            <w:r>
              <w:t>$15,000</w:t>
            </w:r>
          </w:p>
        </w:tc>
      </w:tr>
      <w:tr>
        <w:tc>
          <w:tcPr>
            <w:tcW w:type="dxa" w:w="2520"/>
            <w:vAlign w:val="center"/>
          </w:tcPr>
          <w:p>
            <w:r/>
            <w:r>
              <w:t>Lubrication service</w:t>
            </w:r>
          </w:p>
        </w:tc>
        <w:tc>
          <w:tcPr>
            <w:tcW w:type="dxa" w:w="2520"/>
            <w:vAlign w:val="center"/>
          </w:tcPr>
          <w:p>
            <w:r/>
            <w:r>
              <w:t>$500</w:t>
            </w:r>
          </w:p>
        </w:tc>
        <w:tc>
          <w:tcPr>
            <w:tcW w:type="dxa" w:w="2520"/>
            <w:vAlign w:val="center"/>
          </w:tcPr>
          <w:p>
            <w:r/>
            <w:r>
              <w:t>$1,500</w:t>
            </w:r>
          </w:p>
        </w:tc>
        <w:tc>
          <w:tcPr>
            <w:tcW w:type="dxa" w:w="2520"/>
            <w:vAlign w:val="center"/>
          </w:tcPr>
          <w:p>
            <w:r/>
            <w:r>
              <w:t>$2,000</w:t>
            </w:r>
          </w:p>
        </w:tc>
      </w:tr>
      <w:tr>
        <w:tc>
          <w:tcPr>
            <w:tcW w:type="dxa" w:w="2520"/>
            <w:vAlign w:val="center"/>
          </w:tcPr>
          <w:p>
            <w:r/>
            <w:r>
              <w:t>Inspect next shift</w:t>
            </w:r>
          </w:p>
        </w:tc>
        <w:tc>
          <w:tcPr>
            <w:tcW w:type="dxa" w:w="2520"/>
            <w:vAlign w:val="center"/>
          </w:tcPr>
          <w:p>
            <w:r/>
            <w:r>
              <w:t>$0</w:t>
            </w:r>
          </w:p>
        </w:tc>
        <w:tc>
          <w:tcPr>
            <w:tcW w:type="dxa" w:w="2520"/>
            <w:vAlign w:val="center"/>
          </w:tcPr>
          <w:p>
            <w:r/>
            <w:r>
              <w:t>$1,200</w:t>
            </w:r>
          </w:p>
        </w:tc>
        <w:tc>
          <w:tcPr>
            <w:tcW w:type="dxa" w:w="2520"/>
            <w:vAlign w:val="center"/>
          </w:tcPr>
          <w:p>
            <w:r/>
            <w:r>
              <w:t>$1,200</w:t>
            </w:r>
          </w:p>
        </w:tc>
      </w:tr>
      <w:tr>
        <w:tc>
          <w:tcPr>
            <w:tcW w:type="dxa" w:w="2520"/>
            <w:vAlign w:val="center"/>
          </w:tcPr>
          <w:p>
            <w:r/>
            <w:r>
              <w:t>Derate and monitor</w:t>
            </w:r>
          </w:p>
        </w:tc>
        <w:tc>
          <w:tcPr>
            <w:tcW w:type="dxa" w:w="2520"/>
            <w:vAlign w:val="center"/>
          </w:tcPr>
          <w:p>
            <w:r/>
            <w:r>
              <w:t>$0</w:t>
            </w:r>
          </w:p>
        </w:tc>
        <w:tc>
          <w:tcPr>
            <w:tcW w:type="dxa" w:w="2520"/>
            <w:vAlign w:val="center"/>
          </w:tcPr>
          <w:p>
            <w:r/>
            <w:r>
              <w:t>$600</w:t>
            </w:r>
          </w:p>
        </w:tc>
        <w:tc>
          <w:tcPr>
            <w:tcW w:type="dxa" w:w="2520"/>
            <w:vAlign w:val="center"/>
          </w:tcPr>
          <w:p>
            <w:r/>
            <w:r>
              <w:t>$600</w:t>
            </w:r>
          </w:p>
        </w:tc>
      </w:tr>
      <w:tr>
        <w:tc>
          <w:tcPr>
            <w:tcW w:type="dxa" w:w="2520"/>
            <w:vAlign w:val="center"/>
          </w:tcPr>
          <w:p>
            <w:r/>
            <w:r>
              <w:t>Continue monitoring</w:t>
            </w:r>
          </w:p>
        </w:tc>
        <w:tc>
          <w:tcPr>
            <w:tcW w:type="dxa" w:w="2520"/>
            <w:vAlign w:val="center"/>
          </w:tcPr>
          <w:p>
            <w:r/>
            <w:r>
              <w:t>$0</w:t>
            </w:r>
          </w:p>
        </w:tc>
        <w:tc>
          <w:tcPr>
            <w:tcW w:type="dxa" w:w="2520"/>
            <w:vAlign w:val="center"/>
          </w:tcPr>
          <w:p>
            <w:r/>
            <w:r>
              <w:t>$300</w:t>
            </w:r>
          </w:p>
        </w:tc>
        <w:tc>
          <w:tcPr>
            <w:tcW w:type="dxa" w:w="2520"/>
            <w:vAlign w:val="center"/>
          </w:tcPr>
          <w:p>
            <w:r/>
            <w:r>
              <w:t>$300</w:t>
            </w:r>
          </w:p>
        </w:tc>
      </w:tr>
    </w:tbl>
    <w:p>
      <w:pPr>
        <w:spacing w:after="40"/>
      </w:pPr>
    </w:p>
    <w:p>
      <w:r>
        <w:rPr>
          <w:rFonts w:ascii="Consolas" w:hAnsi="Consolas"/>
          <w:color w:val="1F4E79"/>
          <w:sz w:val="18"/>
        </w:rPr>
        <w:t>AST_MTR_001</w:t>
      </w:r>
      <w:r>
        <w:t xml:space="preserve"> has a special demo override: approved cost </w:t>
      </w:r>
      <w:r>
        <w:rPr>
          <w:rFonts w:ascii="Consolas" w:hAnsi="Consolas"/>
          <w:color w:val="1F4E79"/>
          <w:sz w:val="18"/>
        </w:rPr>
        <w:t>$48,000</w:t>
      </w:r>
      <w:r>
        <w:t xml:space="preserve">, deferred cost </w:t>
      </w:r>
      <w:r>
        <w:rPr>
          <w:rFonts w:ascii="Consolas" w:hAnsi="Consolas"/>
          <w:color w:val="1F4E79"/>
          <w:sz w:val="18"/>
        </w:rPr>
        <w:t>$2,016,000</w:t>
      </w:r>
      <w:r>
        <w:t xml:space="preserve">, and deferred hourly cost </w:t>
      </w:r>
      <w:r>
        <w:rPr>
          <w:rFonts w:ascii="Consolas" w:hAnsi="Consolas"/>
          <w:color w:val="1F4E79"/>
          <w:sz w:val="18"/>
        </w:rPr>
        <w:t>$7,500</w:t>
      </w:r>
      <w:r>
        <w:t>.</w:t>
      </w:r>
    </w:p>
    <w:p>
      <w:r>
        <w:t>Authority limits:</w:t>
      </w:r>
    </w:p>
    <w:tbl>
      <w:tblPr>
        <w:tblStyle w:val="TableGrid"/>
        <w:tblW w:type="auto" w:w="0"/>
        <w:tblLayout w:type="autofit"/>
        <w:tblLook w:firstColumn="1" w:firstRow="1" w:lastColumn="0" w:lastRow="0" w:noHBand="0" w:noVBand="1" w:val="04A0"/>
      </w:tblPr>
      <w:tblGrid>
        <w:gridCol w:w="5040"/>
        <w:gridCol w:w="5040"/>
      </w:tblGrid>
      <w:tr>
        <w:tc>
          <w:tcPr>
            <w:tcW w:type="dxa" w:w="5040"/>
            <w:vAlign w:val="center"/>
            <w:shd w:fill="D9EAF7"/>
          </w:tcPr>
          <w:p>
            <w:r>
              <w:rPr>
                <w:b/>
              </w:rPr>
            </w:r>
            <w:r>
              <w:rPr>
                <w:b/>
              </w:rPr>
              <w:t>Persona</w:t>
            </w:r>
          </w:p>
        </w:tc>
        <w:tc>
          <w:tcPr>
            <w:tcW w:type="dxa" w:w="5040"/>
            <w:vAlign w:val="center"/>
            <w:shd w:fill="D9EAF7"/>
          </w:tcPr>
          <w:p>
            <w:r>
              <w:rPr>
                <w:b/>
              </w:rPr>
            </w:r>
            <w:r>
              <w:rPr>
                <w:b/>
              </w:rPr>
              <w:t>Default authority</w:t>
            </w:r>
          </w:p>
        </w:tc>
      </w:tr>
      <w:tr>
        <w:tc>
          <w:tcPr>
            <w:tcW w:type="dxa" w:w="5040"/>
            <w:vAlign w:val="center"/>
          </w:tcPr>
          <w:p>
            <w:r/>
            <w:r>
              <w:t>Plant Supervisor</w:t>
            </w:r>
          </w:p>
        </w:tc>
        <w:tc>
          <w:tcPr>
            <w:tcW w:type="dxa" w:w="5040"/>
            <w:vAlign w:val="center"/>
          </w:tcPr>
          <w:p>
            <w:r/>
            <w:r>
              <w:t>$100,000</w:t>
            </w:r>
          </w:p>
        </w:tc>
      </w:tr>
      <w:tr>
        <w:tc>
          <w:tcPr>
            <w:tcW w:type="dxa" w:w="5040"/>
            <w:vAlign w:val="center"/>
          </w:tcPr>
          <w:p>
            <w:r/>
            <w:r>
              <w:t>Plant Manager</w:t>
            </w:r>
          </w:p>
        </w:tc>
        <w:tc>
          <w:tcPr>
            <w:tcW w:type="dxa" w:w="5040"/>
            <w:vAlign w:val="center"/>
          </w:tcPr>
          <w:p>
            <w:r/>
            <w:r>
              <w:t>$1,000,000</w:t>
            </w:r>
          </w:p>
        </w:tc>
      </w:tr>
      <w:tr>
        <w:tc>
          <w:tcPr>
            <w:tcW w:type="dxa" w:w="5040"/>
            <w:vAlign w:val="center"/>
          </w:tcPr>
          <w:p>
            <w:r/>
            <w:r>
              <w:t>VP Operations</w:t>
            </w:r>
          </w:p>
        </w:tc>
        <w:tc>
          <w:tcPr>
            <w:tcW w:type="dxa" w:w="5040"/>
            <w:vAlign w:val="center"/>
          </w:tcPr>
          <w:p>
            <w:r/>
            <w:r>
              <w:t>$5,000,000</w:t>
            </w:r>
          </w:p>
        </w:tc>
      </w:tr>
    </w:tbl>
    <w:p>
      <w:pPr>
        <w:spacing w:after="40"/>
      </w:pPr>
    </w:p>
    <w:p>
      <w:r>
        <w:t>All values are labelled configured demo data and require business approval before production use.</w:t>
      </w:r>
    </w:p>
    <w:p>
      <w:pPr>
        <w:pStyle w:val="Heading3"/>
      </w:pPr>
      <w:r>
        <w:t>12.5 Execution trace ownership</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shd w:fill="D9EAF7"/>
          </w:tcPr>
          <w:p>
            <w:r>
              <w:rPr>
                <w:b/>
              </w:rPr>
            </w:r>
            <w:r>
              <w:rPr>
                <w:b/>
              </w:rPr>
              <w:t>Step</w:t>
            </w:r>
          </w:p>
        </w:tc>
        <w:tc>
          <w:tcPr>
            <w:tcW w:type="dxa" w:w="3360"/>
            <w:vAlign w:val="center"/>
            <w:shd w:fill="D9EAF7"/>
          </w:tcPr>
          <w:p>
            <w:r>
              <w:rPr>
                <w:b/>
              </w:rPr>
            </w:r>
            <w:r>
              <w:rPr>
                <w:b/>
              </w:rPr>
              <w:t>Default owner</w:t>
            </w:r>
          </w:p>
        </w:tc>
        <w:tc>
          <w:tcPr>
            <w:tcW w:type="dxa" w:w="3360"/>
            <w:vAlign w:val="center"/>
            <w:shd w:fill="D9EAF7"/>
          </w:tcPr>
          <w:p>
            <w:r>
              <w:rPr>
                <w:b/>
              </w:rPr>
            </w:r>
            <w:r>
              <w:rPr>
                <w:b/>
              </w:rPr>
              <w:t>Default deadline/escalation</w:t>
            </w:r>
          </w:p>
        </w:tc>
      </w:tr>
      <w:tr>
        <w:tc>
          <w:tcPr>
            <w:tcW w:type="dxa" w:w="3360"/>
            <w:vAlign w:val="center"/>
          </w:tcPr>
          <w:p>
            <w:r/>
            <w:r>
              <w:t>Work order</w:t>
            </w:r>
          </w:p>
        </w:tc>
        <w:tc>
          <w:tcPr>
            <w:tcW w:type="dxa" w:w="3360"/>
            <w:vAlign w:val="center"/>
          </w:tcPr>
          <w:p>
            <w:r/>
            <w:r>
              <w:t>Maintenance Planner</w:t>
            </w:r>
          </w:p>
        </w:tc>
        <w:tc>
          <w:tcPr>
            <w:tcW w:type="dxa" w:w="3360"/>
            <w:vAlign w:val="center"/>
          </w:tcPr>
          <w:p>
            <w:r/>
            <w:r>
              <w:t>Immediate</w:t>
            </w:r>
          </w:p>
        </w:tc>
      </w:tr>
      <w:tr>
        <w:tc>
          <w:tcPr>
            <w:tcW w:type="dxa" w:w="3360"/>
            <w:vAlign w:val="center"/>
          </w:tcPr>
          <w:p>
            <w:r/>
            <w:r>
              <w:t>Notifications</w:t>
            </w:r>
          </w:p>
        </w:tc>
        <w:tc>
          <w:tcPr>
            <w:tcW w:type="dxa" w:w="3360"/>
            <w:vAlign w:val="center"/>
          </w:tcPr>
          <w:p>
            <w:r/>
            <w:r>
              <w:t>Plant Supervisor</w:t>
            </w:r>
          </w:p>
        </w:tc>
        <w:tc>
          <w:tcPr>
            <w:tcW w:type="dxa" w:w="3360"/>
            <w:vAlign w:val="center"/>
          </w:tcPr>
          <w:p>
            <w:r/>
            <w:r>
              <w:t>Within 15 minutes</w:t>
            </w:r>
          </w:p>
        </w:tc>
      </w:tr>
      <w:tr>
        <w:tc>
          <w:tcPr>
            <w:tcW w:type="dxa" w:w="3360"/>
            <w:vAlign w:val="center"/>
          </w:tcPr>
          <w:p>
            <w:r/>
            <w:r>
              <w:t>Parts</w:t>
            </w:r>
          </w:p>
        </w:tc>
        <w:tc>
          <w:tcPr>
            <w:tcW w:type="dxa" w:w="3360"/>
            <w:vAlign w:val="center"/>
          </w:tcPr>
          <w:p>
            <w:r/>
            <w:r>
              <w:t>Maintenance Planner</w:t>
            </w:r>
          </w:p>
        </w:tc>
        <w:tc>
          <w:tcPr>
            <w:tcW w:type="dxa" w:w="3360"/>
            <w:vAlign w:val="center"/>
          </w:tcPr>
          <w:p>
            <w:r/>
            <w:r>
              <w:t>Before RUL minimum</w:t>
            </w:r>
          </w:p>
        </w:tc>
      </w:tr>
      <w:tr>
        <w:tc>
          <w:tcPr>
            <w:tcW w:type="dxa" w:w="3360"/>
            <w:vAlign w:val="center"/>
          </w:tcPr>
          <w:p>
            <w:r/>
            <w:r>
              <w:t>Maintenance window</w:t>
            </w:r>
          </w:p>
        </w:tc>
        <w:tc>
          <w:tcPr>
            <w:tcW w:type="dxa" w:w="3360"/>
            <w:vAlign w:val="center"/>
          </w:tcPr>
          <w:p>
            <w:r/>
            <w:r>
              <w:t>Plant Supervisor</w:t>
            </w:r>
          </w:p>
        </w:tc>
        <w:tc>
          <w:tcPr>
            <w:tcW w:type="dxa" w:w="3360"/>
            <w:vAlign w:val="center"/>
          </w:tcPr>
          <w:p>
            <w:r/>
            <w:r>
              <w:t>Within 4 hours; escalate to Plant Manager, then VP Operations</w:t>
            </w:r>
          </w:p>
        </w:tc>
      </w:tr>
    </w:tbl>
    <w:p>
      <w:pPr>
        <w:spacing w:after="40"/>
      </w:pPr>
    </w:p>
    <w:p>
      <w:r>
        <w:t>The four-step trace shows each step, status, owner, deadline and escalation rule.</w:t>
      </w:r>
    </w:p>
    <w:p>
      <w:pPr>
        <w:pStyle w:val="Heading3"/>
      </w:pPr>
      <w:r>
        <w:t>12.6 Learning policy</w:t>
      </w:r>
    </w:p>
    <w:p>
      <w:r>
        <w:t xml:space="preserve">Agent 8 accepts execution states </w:t>
      </w:r>
      <w:r>
        <w:rPr>
          <w:rFonts w:ascii="Consolas" w:hAnsi="Consolas"/>
          <w:color w:val="1F4E79"/>
          <w:sz w:val="18"/>
        </w:rPr>
        <w:t>success</w:t>
      </w:r>
      <w:r>
        <w:t xml:space="preserve"> and </w:t>
      </w:r>
      <w:r>
        <w:rPr>
          <w:rFonts w:ascii="Consolas" w:hAnsi="Consolas"/>
          <w:color w:val="1F4E79"/>
          <w:sz w:val="18"/>
        </w:rPr>
        <w:t>partial</w:t>
      </w:r>
      <w:r>
        <w:t>, requires a timezone and root cause, rejects duplicate cases and returns up to five similar cases above a 0.15 relevance threshold. Narrative length is capped at 2,000 characters.</w:t>
      </w:r>
    </w:p>
    <w:p>
      <w:pPr>
        <w:pStyle w:val="Heading2"/>
      </w:pPr>
      <w:r>
        <w:t>13. Configurable parameters by business owner</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shd w:fill="D9EAF7"/>
          </w:tcPr>
          <w:p>
            <w:r>
              <w:rPr>
                <w:b/>
              </w:rPr>
            </w:r>
            <w:r>
              <w:rPr>
                <w:b/>
              </w:rPr>
              <w:t>Configuration</w:t>
            </w:r>
          </w:p>
        </w:tc>
        <w:tc>
          <w:tcPr>
            <w:tcW w:type="dxa" w:w="3360"/>
            <w:vAlign w:val="center"/>
            <w:shd w:fill="D9EAF7"/>
          </w:tcPr>
          <w:p>
            <w:r>
              <w:rPr>
                <w:b/>
              </w:rPr>
            </w:r>
            <w:r>
              <w:rPr>
                <w:b/>
              </w:rPr>
              <w:t>Main owner(s)</w:t>
            </w:r>
          </w:p>
        </w:tc>
        <w:tc>
          <w:tcPr>
            <w:tcW w:type="dxa" w:w="3360"/>
            <w:vAlign w:val="center"/>
            <w:shd w:fill="D9EAF7"/>
          </w:tcPr>
          <w:p>
            <w:r>
              <w:rPr>
                <w:b/>
              </w:rPr>
            </w:r>
            <w:r>
              <w:rPr>
                <w:b/>
              </w:rPr>
              <w:t>Examples of decisions controlled</w:t>
            </w:r>
          </w:p>
        </w:tc>
      </w:tr>
      <w:tr>
        <w:tc>
          <w:tcPr>
            <w:tcW w:type="dxa" w:w="3360"/>
            <w:vAlign w:val="center"/>
          </w:tcPr>
          <w:p>
            <w:r/>
            <w:r>
              <w:rPr>
                <w:rFonts w:ascii="Consolas" w:hAnsi="Consolas"/>
                <w:color w:val="1F4E79"/>
                <w:sz w:val="18"/>
              </w:rPr>
              <w:t>dfa_config.json</w:t>
            </w:r>
          </w:p>
        </w:tc>
        <w:tc>
          <w:tcPr>
            <w:tcW w:type="dxa" w:w="3360"/>
            <w:vAlign w:val="center"/>
          </w:tcPr>
          <w:p>
            <w:r/>
            <w:r>
              <w:t>OT, Reliability</w:t>
            </w:r>
          </w:p>
        </w:tc>
        <w:tc>
          <w:tcPr>
            <w:tcW w:type="dxa" w:w="3360"/>
            <w:vAlign w:val="center"/>
          </w:tcPr>
          <w:p>
            <w:r/>
            <w:r>
              <w:t>freshness, quality, fields, normalization, remediation</w:t>
            </w:r>
          </w:p>
        </w:tc>
      </w:tr>
      <w:tr>
        <w:tc>
          <w:tcPr>
            <w:tcW w:type="dxa" w:w="3360"/>
            <w:vAlign w:val="center"/>
          </w:tcPr>
          <w:p>
            <w:r/>
            <w:r>
              <w:rPr>
                <w:rFonts w:ascii="Consolas" w:hAnsi="Consolas"/>
                <w:color w:val="1F4E79"/>
                <w:sz w:val="18"/>
              </w:rPr>
              <w:t>monitoring_config.json</w:t>
            </w:r>
          </w:p>
        </w:tc>
        <w:tc>
          <w:tcPr>
            <w:tcW w:type="dxa" w:w="3360"/>
            <w:vAlign w:val="center"/>
          </w:tcPr>
          <w:p>
            <w:r/>
            <w:r>
              <w:t>Reliability, OT</w:t>
            </w:r>
          </w:p>
        </w:tc>
        <w:tc>
          <w:tcPr>
            <w:tcW w:type="dxa" w:w="3360"/>
            <w:vAlign w:val="center"/>
          </w:tcPr>
          <w:p>
            <w:r/>
            <w:r>
              <w:t>anomaly sensitivity, regimes, EWMA, cooldown</w:t>
            </w:r>
          </w:p>
        </w:tc>
      </w:tr>
      <w:tr>
        <w:tc>
          <w:tcPr>
            <w:tcW w:type="dxa" w:w="3360"/>
            <w:vAlign w:val="center"/>
          </w:tcPr>
          <w:p>
            <w:r/>
            <w:r>
              <w:rPr>
                <w:rFonts w:ascii="Consolas" w:hAnsi="Consolas"/>
                <w:color w:val="1F4E79"/>
                <w:sz w:val="18"/>
              </w:rPr>
              <w:t>fault_taxonomy.json</w:t>
            </w:r>
            <w:r>
              <w:t xml:space="preserve"> / </w:t>
            </w:r>
            <w:r>
              <w:rPr>
                <w:rFonts w:ascii="Consolas" w:hAnsi="Consolas"/>
                <w:color w:val="1F4E79"/>
                <w:sz w:val="18"/>
              </w:rPr>
              <w:t>fi_config.json</w:t>
            </w:r>
          </w:p>
        </w:tc>
        <w:tc>
          <w:tcPr>
            <w:tcW w:type="dxa" w:w="3360"/>
            <w:vAlign w:val="center"/>
          </w:tcPr>
          <w:p>
            <w:r/>
            <w:r>
              <w:t>Reliability</w:t>
            </w:r>
          </w:p>
        </w:tc>
        <w:tc>
          <w:tcPr>
            <w:tcW w:type="dxa" w:w="3360"/>
            <w:vAlign w:val="center"/>
          </w:tcPr>
          <w:p>
            <w:r/>
            <w:r>
              <w:t>fault rules, stages, RUL, severity</w:t>
            </w:r>
          </w:p>
        </w:tc>
      </w:tr>
      <w:tr>
        <w:tc>
          <w:tcPr>
            <w:tcW w:type="dxa" w:w="3360"/>
            <w:vAlign w:val="center"/>
          </w:tcPr>
          <w:p>
            <w:r/>
            <w:r>
              <w:rPr>
                <w:rFonts w:ascii="Consolas" w:hAnsi="Consolas"/>
                <w:color w:val="1F4E79"/>
                <w:sz w:val="18"/>
              </w:rPr>
              <w:t>risk_config.json</w:t>
            </w:r>
          </w:p>
        </w:tc>
        <w:tc>
          <w:tcPr>
            <w:tcW w:type="dxa" w:w="3360"/>
            <w:vAlign w:val="center"/>
          </w:tcPr>
          <w:p>
            <w:r/>
            <w:r>
              <w:t>Reliability, Operations, Finance</w:t>
            </w:r>
          </w:p>
        </w:tc>
        <w:tc>
          <w:tcPr>
            <w:tcW w:type="dxa" w:w="3360"/>
            <w:vAlign w:val="center"/>
          </w:tcPr>
          <w:p>
            <w:r/>
            <w:r>
              <w:t>probability blend, monitor band, business flag</w:t>
            </w:r>
          </w:p>
        </w:tc>
      </w:tr>
      <w:tr>
        <w:tc>
          <w:tcPr>
            <w:tcW w:type="dxa" w:w="3360"/>
            <w:vAlign w:val="center"/>
          </w:tcPr>
          <w:p>
            <w:r/>
            <w:r>
              <w:rPr>
                <w:rFonts w:ascii="Consolas" w:hAnsi="Consolas"/>
                <w:color w:val="1F4E79"/>
                <w:sz w:val="18"/>
              </w:rPr>
              <w:t>knowledge_config.json</w:t>
            </w:r>
          </w:p>
        </w:tc>
        <w:tc>
          <w:tcPr>
            <w:tcW w:type="dxa" w:w="3360"/>
            <w:vAlign w:val="center"/>
          </w:tcPr>
          <w:p>
            <w:r/>
            <w:r>
              <w:t>Reliability, Safety, Knowledge owner</w:t>
            </w:r>
          </w:p>
        </w:tc>
        <w:tc>
          <w:tcPr>
            <w:tcW w:type="dxa" w:w="3360"/>
            <w:vAlign w:val="center"/>
          </w:tcPr>
          <w:p>
            <w:r/>
            <w:r>
              <w:t>retrieval score, sources, answer limits</w:t>
            </w:r>
          </w:p>
        </w:tc>
      </w:tr>
      <w:tr>
        <w:tc>
          <w:tcPr>
            <w:tcW w:type="dxa" w:w="3360"/>
            <w:vAlign w:val="center"/>
          </w:tcPr>
          <w:p>
            <w:r/>
            <w:r>
              <w:rPr>
                <w:rFonts w:ascii="Consolas" w:hAnsi="Consolas"/>
                <w:color w:val="1F4E79"/>
                <w:sz w:val="18"/>
              </w:rPr>
              <w:t>prescriptive_config.json</w:t>
            </w:r>
          </w:p>
        </w:tc>
        <w:tc>
          <w:tcPr>
            <w:tcW w:type="dxa" w:w="3360"/>
            <w:vAlign w:val="center"/>
          </w:tcPr>
          <w:p>
            <w:r/>
            <w:r>
              <w:t>Maintenance, Operations</w:t>
            </w:r>
          </w:p>
        </w:tc>
        <w:tc>
          <w:tcPr>
            <w:tcW w:type="dxa" w:w="3360"/>
            <w:vAlign w:val="center"/>
          </w:tcPr>
          <w:p>
            <w:r/>
            <w:r>
              <w:t>action ranking, duration, urgency, approval actions</w:t>
            </w:r>
          </w:p>
        </w:tc>
      </w:tr>
      <w:tr>
        <w:tc>
          <w:tcPr>
            <w:tcW w:type="dxa" w:w="3360"/>
            <w:vAlign w:val="center"/>
          </w:tcPr>
          <w:p>
            <w:r/>
            <w:r>
              <w:rPr>
                <w:rFonts w:ascii="Consolas" w:hAnsi="Consolas"/>
                <w:color w:val="1F4E79"/>
                <w:sz w:val="18"/>
              </w:rPr>
              <w:t>executor_config.json</w:t>
            </w:r>
          </w:p>
        </w:tc>
        <w:tc>
          <w:tcPr>
            <w:tcW w:type="dxa" w:w="3360"/>
            <w:vAlign w:val="center"/>
          </w:tcPr>
          <w:p>
            <w:r/>
            <w:r>
              <w:t>Maintenance, IT/CMMS</w:t>
            </w:r>
          </w:p>
        </w:tc>
        <w:tc>
          <w:tcPr>
            <w:tcW w:type="dxa" w:w="3360"/>
            <w:vAlign w:val="center"/>
          </w:tcPr>
          <w:p>
            <w:r/>
            <w:r>
              <w:t>action allowlist, priority, escalation, duplicates</w:t>
            </w:r>
          </w:p>
        </w:tc>
      </w:tr>
      <w:tr>
        <w:tc>
          <w:tcPr>
            <w:tcW w:type="dxa" w:w="3360"/>
            <w:vAlign w:val="center"/>
          </w:tcPr>
          <w:p>
            <w:r/>
            <w:r>
              <w:rPr>
                <w:rFonts w:ascii="Consolas" w:hAnsi="Consolas"/>
                <w:color w:val="1F4E79"/>
                <w:sz w:val="18"/>
              </w:rPr>
              <w:t>learning_config.json</w:t>
            </w:r>
          </w:p>
        </w:tc>
        <w:tc>
          <w:tcPr>
            <w:tcW w:type="dxa" w:w="3360"/>
            <w:vAlign w:val="center"/>
          </w:tcPr>
          <w:p>
            <w:r/>
            <w:r>
              <w:t>Reliability, Data Governance</w:t>
            </w:r>
          </w:p>
        </w:tc>
        <w:tc>
          <w:tcPr>
            <w:tcW w:type="dxa" w:w="3360"/>
            <w:vAlign w:val="center"/>
          </w:tcPr>
          <w:p>
            <w:r/>
            <w:r>
              <w:t>accepted outcomes, feedback requirements, retention paths</w:t>
            </w:r>
          </w:p>
        </w:tc>
      </w:tr>
      <w:tr>
        <w:tc>
          <w:tcPr>
            <w:tcW w:type="dxa" w:w="3360"/>
            <w:vAlign w:val="center"/>
          </w:tcPr>
          <w:p>
            <w:r/>
            <w:r>
              <w:rPr>
                <w:rFonts w:ascii="Consolas" w:hAnsi="Consolas"/>
                <w:color w:val="1F4E79"/>
                <w:sz w:val="18"/>
              </w:rPr>
              <w:t>personas.json</w:t>
            </w:r>
          </w:p>
        </w:tc>
        <w:tc>
          <w:tcPr>
            <w:tcW w:type="dxa" w:w="3360"/>
            <w:vAlign w:val="center"/>
          </w:tcPr>
          <w:p>
            <w:r/>
            <w:r>
              <w:t>Product owner, function leads</w:t>
            </w:r>
          </w:p>
        </w:tc>
        <w:tc>
          <w:tcPr>
            <w:tcW w:type="dxa" w:w="3360"/>
            <w:vAlign w:val="center"/>
          </w:tcPr>
          <w:p>
            <w:r/>
            <w:r>
              <w:t>response focus, detail, actions and suppression</w:t>
            </w:r>
          </w:p>
        </w:tc>
      </w:tr>
      <w:tr>
        <w:tc>
          <w:tcPr>
            <w:tcW w:type="dxa" w:w="3360"/>
            <w:vAlign w:val="center"/>
          </w:tcPr>
          <w:p>
            <w:r/>
            <w:r>
              <w:rPr>
                <w:rFonts w:ascii="Consolas" w:hAnsi="Consolas"/>
                <w:color w:val="1F4E79"/>
                <w:sz w:val="18"/>
              </w:rPr>
              <w:t>orchestrator_config.json</w:t>
            </w:r>
          </w:p>
        </w:tc>
        <w:tc>
          <w:tcPr>
            <w:tcW w:type="dxa" w:w="3360"/>
            <w:vAlign w:val="center"/>
          </w:tcPr>
          <w:p>
            <w:r/>
            <w:r>
              <w:t>Product/IT/Security</w:t>
            </w:r>
          </w:p>
        </w:tc>
        <w:tc>
          <w:tcPr>
            <w:tcW w:type="dxa" w:w="3360"/>
            <w:vAlign w:val="center"/>
          </w:tcPr>
          <w:p>
            <w:r/>
            <w:r>
              <w:t>chat limits, reflection, HITL owners, audit</w:t>
            </w:r>
          </w:p>
        </w:tc>
      </w:tr>
      <w:tr>
        <w:tc>
          <w:tcPr>
            <w:tcW w:type="dxa" w:w="3360"/>
            <w:vAlign w:val="center"/>
          </w:tcPr>
          <w:p>
            <w:r/>
            <w:r>
              <w:rPr>
                <w:rFonts w:ascii="Consolas" w:hAnsi="Consolas"/>
                <w:color w:val="1F4E79"/>
                <w:sz w:val="18"/>
              </w:rPr>
              <w:t>decision_support_config.json</w:t>
            </w:r>
          </w:p>
        </w:tc>
        <w:tc>
          <w:tcPr>
            <w:tcW w:type="dxa" w:w="3360"/>
            <w:vAlign w:val="center"/>
          </w:tcPr>
          <w:p>
            <w:r/>
            <w:r>
              <w:t>Operations, Finance, HR authority owner</w:t>
            </w:r>
          </w:p>
        </w:tc>
        <w:tc>
          <w:tcPr>
            <w:tcW w:type="dxa" w:w="3360"/>
            <w:vAlign w:val="center"/>
          </w:tcPr>
          <w:p>
            <w:r/>
            <w:r>
              <w:t>costs, authority, escalation and trace ownership</w:t>
            </w:r>
          </w:p>
        </w:tc>
      </w:tr>
      <w:tr>
        <w:tc>
          <w:tcPr>
            <w:tcW w:type="dxa" w:w="3360"/>
            <w:vAlign w:val="center"/>
          </w:tcPr>
          <w:p>
            <w:r/>
            <w:r>
              <w:rPr>
                <w:rFonts w:ascii="Consolas" w:hAnsi="Consolas"/>
                <w:color w:val="1F4E79"/>
                <w:sz w:val="18"/>
              </w:rPr>
              <w:t>synthetic_fleet_config.json</w:t>
            </w:r>
          </w:p>
        </w:tc>
        <w:tc>
          <w:tcPr>
            <w:tcW w:type="dxa" w:w="3360"/>
            <w:vAlign w:val="center"/>
          </w:tcPr>
          <w:p>
            <w:r/>
            <w:r>
              <w:t>Product/QA</w:t>
            </w:r>
          </w:p>
        </w:tc>
        <w:tc>
          <w:tcPr>
            <w:tcW w:type="dxa" w:w="3360"/>
            <w:vAlign w:val="center"/>
          </w:tcPr>
          <w:p>
            <w:r/>
            <w:r>
              <w:t>demo assets, scenarios and certification boundaries</w:t>
            </w:r>
          </w:p>
        </w:tc>
      </w:tr>
    </w:tbl>
    <w:p>
      <w:pPr>
        <w:spacing w:after="40"/>
      </w:pPr>
    </w:p>
    <w:p>
      <w:r>
        <w:t>Configuration changes require restart and regression testing. Business owners should approve policy changes; developers should not alter operational limits without that approval.</w:t>
      </w:r>
    </w:p>
    <w:p>
      <w:pPr>
        <w:pStyle w:val="Heading2"/>
      </w:pPr>
      <w:r>
        <w:t>14. Demo fleet and current data</w:t>
      </w:r>
    </w:p>
    <w:p>
      <w:r>
        <w:t>Current data coverage:</w:t>
      </w:r>
    </w:p>
    <w:tbl>
      <w:tblPr>
        <w:tblStyle w:val="TableGrid"/>
        <w:tblW w:type="auto" w:w="0"/>
        <w:tblLayout w:type="autofit"/>
        <w:tblLook w:firstColumn="1" w:firstRow="1" w:lastColumn="0" w:lastRow="0" w:noHBand="0" w:noVBand="1" w:val="04A0"/>
      </w:tblPr>
      <w:tblGrid>
        <w:gridCol w:w="5040"/>
        <w:gridCol w:w="5040"/>
      </w:tblGrid>
      <w:tr>
        <w:tc>
          <w:tcPr>
            <w:tcW w:type="dxa" w:w="5040"/>
            <w:vAlign w:val="center"/>
            <w:shd w:fill="D9EAF7"/>
          </w:tcPr>
          <w:p>
            <w:r>
              <w:rPr>
                <w:b/>
              </w:rPr>
            </w:r>
            <w:r>
              <w:rPr>
                <w:b/>
              </w:rPr>
              <w:t>Data</w:t>
            </w:r>
          </w:p>
        </w:tc>
        <w:tc>
          <w:tcPr>
            <w:tcW w:type="dxa" w:w="5040"/>
            <w:vAlign w:val="center"/>
            <w:shd w:fill="D9EAF7"/>
          </w:tcPr>
          <w:p>
            <w:r>
              <w:rPr>
                <w:b/>
              </w:rPr>
            </w:r>
            <w:r>
              <w:rPr>
                <w:b/>
              </w:rPr>
              <w:t>Current quantity</w:t>
            </w:r>
          </w:p>
        </w:tc>
      </w:tr>
      <w:tr>
        <w:tc>
          <w:tcPr>
            <w:tcW w:type="dxa" w:w="5040"/>
            <w:vAlign w:val="center"/>
          </w:tcPr>
          <w:p>
            <w:r/>
            <w:r>
              <w:t>Assets</w:t>
            </w:r>
          </w:p>
        </w:tc>
        <w:tc>
          <w:tcPr>
            <w:tcW w:type="dxa" w:w="5040"/>
            <w:vAlign w:val="center"/>
          </w:tcPr>
          <w:p>
            <w:r/>
            <w:r>
              <w:t>30</w:t>
            </w:r>
          </w:p>
        </w:tc>
      </w:tr>
      <w:tr>
        <w:tc>
          <w:tcPr>
            <w:tcW w:type="dxa" w:w="5040"/>
            <w:vAlign w:val="center"/>
          </w:tcPr>
          <w:p>
            <w:r/>
            <w:r>
              <w:t>Bearings/channels</w:t>
            </w:r>
          </w:p>
        </w:tc>
        <w:tc>
          <w:tcPr>
            <w:tcW w:type="dxa" w:w="5040"/>
            <w:vAlign w:val="center"/>
          </w:tcPr>
          <w:p>
            <w:r/>
            <w:r>
              <w:t>60 / 60</w:t>
            </w:r>
          </w:p>
        </w:tc>
      </w:tr>
      <w:tr>
        <w:tc>
          <w:tcPr>
            <w:tcW w:type="dxa" w:w="5040"/>
            <w:vAlign w:val="center"/>
          </w:tcPr>
          <w:p>
            <w:r/>
            <w:r>
              <w:t>Usable telemetry scenarios</w:t>
            </w:r>
          </w:p>
        </w:tc>
        <w:tc>
          <w:tcPr>
            <w:tcW w:type="dxa" w:w="5040"/>
            <w:vAlign w:val="center"/>
          </w:tcPr>
          <w:p>
            <w:r/>
            <w:r>
              <w:t>55</w:t>
            </w:r>
          </w:p>
        </w:tc>
      </w:tr>
      <w:tr>
        <w:tc>
          <w:tcPr>
            <w:tcW w:type="dxa" w:w="5040"/>
            <w:vAlign w:val="center"/>
          </w:tcPr>
          <w:p>
            <w:r/>
            <w:r>
              <w:t>Work-order fixture records</w:t>
            </w:r>
          </w:p>
        </w:tc>
        <w:tc>
          <w:tcPr>
            <w:tcW w:type="dxa" w:w="5040"/>
            <w:vAlign w:val="center"/>
          </w:tcPr>
          <w:p>
            <w:r/>
            <w:r>
              <w:t>18</w:t>
            </w:r>
          </w:p>
        </w:tc>
      </w:tr>
      <w:tr>
        <w:tc>
          <w:tcPr>
            <w:tcW w:type="dxa" w:w="5040"/>
            <w:vAlign w:val="center"/>
          </w:tcPr>
          <w:p>
            <w:r/>
            <w:r>
              <w:t>Complex certification cases</w:t>
            </w:r>
          </w:p>
        </w:tc>
        <w:tc>
          <w:tcPr>
            <w:tcW w:type="dxa" w:w="5040"/>
            <w:vAlign w:val="center"/>
          </w:tcPr>
          <w:p>
            <w:r/>
            <w:r>
              <w:t>15</w:t>
            </w:r>
          </w:p>
        </w:tc>
      </w:tr>
      <w:tr>
        <w:tc>
          <w:tcPr>
            <w:tcW w:type="dxa" w:w="5040"/>
            <w:vAlign w:val="center"/>
          </w:tcPr>
          <w:p>
            <w:r/>
            <w:r>
              <w:t>History points per generated asset</w:t>
            </w:r>
          </w:p>
        </w:tc>
        <w:tc>
          <w:tcPr>
            <w:tcW w:type="dxa" w:w="5040"/>
            <w:vAlign w:val="center"/>
          </w:tcPr>
          <w:p>
            <w:r/>
            <w:r>
              <w:t>12</w:t>
            </w:r>
          </w:p>
        </w:tc>
      </w:tr>
      <w:tr>
        <w:tc>
          <w:tcPr>
            <w:tcW w:type="dxa" w:w="5040"/>
            <w:vAlign w:val="center"/>
          </w:tcPr>
          <w:p>
            <w:r/>
            <w:r>
              <w:t>Equipment classes</w:t>
            </w:r>
          </w:p>
        </w:tc>
        <w:tc>
          <w:tcPr>
            <w:tcW w:type="dxa" w:w="5040"/>
            <w:vAlign w:val="center"/>
          </w:tcPr>
          <w:p>
            <w:r/>
            <w:r>
              <w:t>6</w:t>
            </w:r>
          </w:p>
        </w:tc>
      </w:tr>
    </w:tbl>
    <w:p>
      <w:pPr>
        <w:spacing w:after="40"/>
      </w:pPr>
    </w:p>
    <w:p>
      <w:r>
        <w:t>Equipment includes motors, pumps, conveyors, gearboxes, fans and a compressor. Scenarios include healthy assets, outer/inner race faults, rolling-element and cage faults, lubrication, thermal rise, startup, electrical variation, load spike, dropout and low-quality telemetry.</w:t>
      </w:r>
    </w:p>
    <w:p>
      <w:r>
        <w:t>The 18 work orders exist as data fixtures, but the current runtime work-order API starts empty and is populated by API/executor actions. This behaviour must be explained during demos to avoid expecting 18 cards immediately after a restart.</w:t>
      </w:r>
    </w:p>
    <w:p>
      <w:pPr>
        <w:pStyle w:val="Heading2"/>
      </w:pPr>
      <w:r>
        <w:t>15. Suggested demonstrations</w:t>
      </w:r>
    </w:p>
    <w:p>
      <w:pPr>
        <w:pStyle w:val="Heading3"/>
      </w:pPr>
      <w:r>
        <w:t>Demonstration 1 - Safety against fabrication</w:t>
      </w:r>
    </w:p>
    <w:p>
      <w:pPr>
        <w:pStyle w:val="ListNumber"/>
      </w:pPr>
      <w:r>
        <w:t>Ask “What is the RUL of X-999?”</w:t>
      </w:r>
    </w:p>
    <w:p>
      <w:pPr>
        <w:pStyle w:val="ListNumber"/>
      </w:pPr>
      <w:r>
        <w:t>Show that the system requests registration/evidence.</w:t>
      </w:r>
    </w:p>
    <w:p>
      <w:pPr>
        <w:pStyle w:val="ListNumber"/>
      </w:pPr>
      <w:r>
        <w:t>Explain that Agents 2-8 do not run for an unknown asset.</w:t>
      </w:r>
    </w:p>
    <w:p>
      <w:pPr>
        <w:pStyle w:val="Heading3"/>
      </w:pPr>
      <w:r>
        <w:t>Demonstration 2 - Concept versus asset question</w:t>
      </w:r>
    </w:p>
    <w:p>
      <w:pPr>
        <w:pStyle w:val="ListNumber"/>
      </w:pPr>
      <w:r>
        <w:t>Ask “What is RUL?” and show the cited definition.</w:t>
      </w:r>
    </w:p>
    <w:p>
      <w:pPr>
        <w:pStyle w:val="ListNumber"/>
      </w:pPr>
      <w:r>
        <w:t>Ask “What is the RUL of this bearing?” and show clarification.</w:t>
      </w:r>
    </w:p>
    <w:p>
      <w:pPr>
        <w:pStyle w:val="ListNumber"/>
      </w:pPr>
      <w:r>
        <w:t>Supply a registered scenario with the same conversation ID.</w:t>
      </w:r>
    </w:p>
    <w:p>
      <w:pPr>
        <w:pStyle w:val="ListNumber"/>
      </w:pPr>
      <w:r>
        <w:t>Show the evidence-based RUL answer and call path.</w:t>
      </w:r>
    </w:p>
    <w:p>
      <w:pPr>
        <w:pStyle w:val="Heading3"/>
      </w:pPr>
      <w:r>
        <w:t>Demonstration 3 - Persona-specific response</w:t>
      </w:r>
    </w:p>
    <w:p>
      <w:pPr>
        <w:pStyle w:val="ListNumber"/>
      </w:pPr>
      <w:r>
        <w:t>Run one fault case as Engineer.</w:t>
      </w:r>
    </w:p>
    <w:p>
      <w:pPr>
        <w:pStyle w:val="ListNumber"/>
      </w:pPr>
      <w:r>
        <w:t>Repeat as Manager and Safety.</w:t>
      </w:r>
    </w:p>
    <w:p>
      <w:pPr>
        <w:pStyle w:val="ListNumber"/>
      </w:pPr>
      <w:r>
        <w:t>Show that diagnosis/RUL/sources are identical while details and actions</w:t>
      </w:r>
    </w:p>
    <w:p>
      <w:r>
        <w:t>change.</w:t>
      </w:r>
    </w:p>
    <w:p>
      <w:pPr>
        <w:pStyle w:val="Heading3"/>
      </w:pPr>
      <w:r>
        <w:t>Demonstration 4 - HITL visibility</w:t>
      </w:r>
    </w:p>
    <w:p>
      <w:pPr>
        <w:pStyle w:val="ListNumber"/>
      </w:pPr>
      <w:r>
        <w:t>Create a low-confidence diagnosis gate.</w:t>
      </w:r>
    </w:p>
    <w:p>
      <w:pPr>
        <w:pStyle w:val="ListNumber"/>
      </w:pPr>
      <w:r>
        <w:t>View as Supervisor: evidence is visible, controls are read-only.</w:t>
      </w:r>
    </w:p>
    <w:p>
      <w:pPr>
        <w:pStyle w:val="ListNumber"/>
      </w:pPr>
      <w:r>
        <w:t>View as Engineer: confirm/mark-undetermined controls are available.</w:t>
      </w:r>
    </w:p>
    <w:p>
      <w:pPr>
        <w:pStyle w:val="ListNumber"/>
      </w:pPr>
      <w:r>
        <w:t>Attempt unauthorized API resolution and show HTTP 403.</w:t>
      </w:r>
    </w:p>
    <w:p>
      <w:pPr>
        <w:pStyle w:val="Heading3"/>
      </w:pPr>
      <w:r>
        <w:t>Demonstration 5 - Multi-asset plan</w:t>
      </w:r>
    </w:p>
    <w:p>
      <w:pPr>
        <w:pStyle w:val="ListNumber"/>
      </w:pPr>
      <w:r>
        <w:t>Ask for a weekly plan across M-121, P-220 and C-315 with registered evidence.</w:t>
      </w:r>
    </w:p>
    <w:p>
      <w:pPr>
        <w:pStyle w:val="ListNumber"/>
      </w:pPr>
      <w:r>
        <w:t>Show a separate result/action/deadline for each asset.</w:t>
      </w:r>
    </w:p>
    <w:p>
      <w:pPr>
        <w:pStyle w:val="ListNumber"/>
      </w:pPr>
      <w:r>
        <w:t>Remove evidence for one asset and show partial, honest handling.</w:t>
      </w:r>
    </w:p>
    <w:p>
      <w:pPr>
        <w:pStyle w:val="Heading3"/>
      </w:pPr>
      <w:r>
        <w:t>Demonstration 6 - Approved execution and learning</w:t>
      </w:r>
    </w:p>
    <w:p>
      <w:pPr>
        <w:pStyle w:val="ListNumber"/>
      </w:pPr>
      <w:r>
        <w:t>Generate a recommendation requiring approval.</w:t>
      </w:r>
    </w:p>
    <w:p>
      <w:pPr>
        <w:pStyle w:val="ListNumber"/>
      </w:pPr>
      <w:r>
        <w:t>Show cost/rationale/authority/trace and approval card.</w:t>
      </w:r>
    </w:p>
    <w:p>
      <w:pPr>
        <w:pStyle w:val="ListNumber"/>
      </w:pPr>
      <w:r>
        <w:t>Approve through the dedicated flow.</w:t>
      </w:r>
    </w:p>
    <w:p>
      <w:pPr>
        <w:pStyle w:val="ListNumber"/>
      </w:pPr>
      <w:r>
        <w:t>Show mock work-order/inventory/notification steps.</w:t>
      </w:r>
    </w:p>
    <w:p>
      <w:pPr>
        <w:pStyle w:val="ListNumber"/>
      </w:pPr>
      <w:r>
        <w:t>Supply closure feedback with root cause.</w:t>
      </w:r>
    </w:p>
    <w:p>
      <w:pPr>
        <w:pStyle w:val="ListNumber"/>
      </w:pPr>
      <w:r>
        <w:t>Ask Agent 8 for recent failures/lessons.</w:t>
      </w:r>
    </w:p>
    <w:p>
      <w:pPr>
        <w:pStyle w:val="Heading2"/>
      </w:pPr>
      <w:r>
        <w:t>16. Quality, controls and evidence</w:t>
      </w:r>
    </w:p>
    <w:p>
      <w:r>
        <w:t>The repository contains 1,020 collected pytest cases at this baseline, spanning agent units, edge conditions, adjacent-agent integration, Agent 1-8 flow, chat, clarification, multi-asset behaviour, HITL, authentication, persona response, RAG, PostgreSQL/LangGraph, tracing, synthetic fleet and frontend API contracts.</w:t>
      </w:r>
    </w:p>
    <w:p>
      <w:r>
        <w:t xml:space="preserve">The full local run on 26 August 2026 produced </w:t>
      </w:r>
      <w:r>
        <w:rPr>
          <w:b/>
        </w:rPr>
        <w:t>1,018 passed and 2 failed</w:t>
      </w:r>
      <w:r>
        <w:t>. One failure concerns the expected conversation-context field list after an asset change; the other concerns whether the 18 fixture work orders should be loaded at API startup. These are open contract-alignment items in the current branch and should not be presented as a fully green release.</w:t>
      </w:r>
    </w:p>
    <w:p>
      <w:r>
        <w:t>The versioned chat QC set contains 50 difficult questions across all personas, known and unknown assets, concepts, missing evidence, multi-asset planning, HITL, learning, adversarial input and fallback behaviour. Results can be stored in Excel and published to a LangSmith dataset.</w:t>
      </w:r>
    </w:p>
    <w:p>
      <w:r>
        <w:t>Important acceptance criteria:</w:t>
      </w:r>
    </w:p>
    <w:p>
      <w:pPr>
        <w:pStyle w:val="ListBullet"/>
      </w:pPr>
      <w:r>
        <w:t>No asset-specific result without evidence.</w:t>
      </w:r>
    </w:p>
    <w:p>
      <w:pPr>
        <w:pStyle w:val="ListBullet"/>
      </w:pPr>
      <w:r>
        <w:t>No fleet ranking from partial/unapproved evidence.</w:t>
      </w:r>
    </w:p>
    <w:p>
      <w:pPr>
        <w:pStyle w:val="ListBullet"/>
      </w:pPr>
      <w:r>
        <w:t>No unsupported source/citation.</w:t>
      </w:r>
    </w:p>
    <w:p>
      <w:pPr>
        <w:pStyle w:val="ListBullet"/>
      </w:pPr>
      <w:r>
        <w:t>Correct minimum-agent call path.</w:t>
      </w:r>
    </w:p>
    <w:p>
      <w:pPr>
        <w:pStyle w:val="ListBullet"/>
      </w:pPr>
      <w:r>
        <w:t>Identical authoritative facts across personas.</w:t>
      </w:r>
    </w:p>
    <w:p>
      <w:pPr>
        <w:pStyle w:val="ListBullet"/>
      </w:pPr>
      <w:r>
        <w:t>Unauthorized HITL controls hidden and backend resolution denied.</w:t>
      </w:r>
    </w:p>
    <w:p>
      <w:pPr>
        <w:pStyle w:val="ListBullet"/>
      </w:pPr>
      <w:r>
        <w:t>No execution without approval.</w:t>
      </w:r>
    </w:p>
    <w:p>
      <w:pPr>
        <w:pStyle w:val="ListBullet"/>
      </w:pPr>
      <w:r>
        <w:t>No learning without valid closure feedback.</w:t>
      </w:r>
    </w:p>
    <w:p>
      <w:pPr>
        <w:pStyle w:val="ListBullet"/>
      </w:pPr>
      <w:r>
        <w:t>Graceful defined and undefined error handling.</w:t>
      </w:r>
    </w:p>
    <w:p>
      <w:pPr>
        <w:pStyle w:val="Heading2"/>
      </w:pPr>
      <w:r>
        <w:t>17. Business KPIs for a pilot</w:t>
      </w:r>
    </w:p>
    <w:p>
      <w:r>
        <w:t>Recommended pilot measures:</w:t>
      </w:r>
    </w:p>
    <w:tbl>
      <w:tblPr>
        <w:tblStyle w:val="TableGrid"/>
        <w:tblW w:type="auto" w:w="0"/>
        <w:tblLayout w:type="autofit"/>
        <w:tblLook w:firstColumn="1" w:firstRow="1" w:lastColumn="0" w:lastRow="0" w:noHBand="0" w:noVBand="1" w:val="04A0"/>
      </w:tblPr>
      <w:tblGrid>
        <w:gridCol w:w="5040"/>
        <w:gridCol w:w="5040"/>
      </w:tblGrid>
      <w:tr>
        <w:tc>
          <w:tcPr>
            <w:tcW w:type="dxa" w:w="5040"/>
            <w:vAlign w:val="center"/>
            <w:shd w:fill="D9EAF7"/>
          </w:tcPr>
          <w:p>
            <w:r>
              <w:rPr>
                <w:b/>
              </w:rPr>
            </w:r>
            <w:r>
              <w:rPr>
                <w:b/>
              </w:rPr>
              <w:t>KPI</w:t>
            </w:r>
          </w:p>
        </w:tc>
        <w:tc>
          <w:tcPr>
            <w:tcW w:type="dxa" w:w="5040"/>
            <w:vAlign w:val="center"/>
            <w:shd w:fill="D9EAF7"/>
          </w:tcPr>
          <w:p>
            <w:r>
              <w:rPr>
                <w:b/>
              </w:rPr>
            </w:r>
            <w:r>
              <w:rPr>
                <w:b/>
              </w:rPr>
              <w:t>Suggested definition</w:t>
            </w:r>
          </w:p>
        </w:tc>
      </w:tr>
      <w:tr>
        <w:tc>
          <w:tcPr>
            <w:tcW w:type="dxa" w:w="5040"/>
            <w:vAlign w:val="center"/>
          </w:tcPr>
          <w:p>
            <w:r/>
            <w:r>
              <w:t>Alert-to-decision time</w:t>
            </w:r>
          </w:p>
        </w:tc>
        <w:tc>
          <w:tcPr>
            <w:tcW w:type="dxa" w:w="5040"/>
            <w:vAlign w:val="center"/>
          </w:tcPr>
          <w:p>
            <w:r/>
            <w:r>
              <w:t>Time from trusted anomaly to recorded human decision</w:t>
            </w:r>
          </w:p>
        </w:tc>
      </w:tr>
      <w:tr>
        <w:tc>
          <w:tcPr>
            <w:tcW w:type="dxa" w:w="5040"/>
            <w:vAlign w:val="center"/>
          </w:tcPr>
          <w:p>
            <w:r/>
            <w:r>
              <w:t>Recommendation acceptance</w:t>
            </w:r>
          </w:p>
        </w:tc>
        <w:tc>
          <w:tcPr>
            <w:tcW w:type="dxa" w:w="5040"/>
            <w:vAlign w:val="center"/>
          </w:tcPr>
          <w:p>
            <w:r/>
            <w:r>
              <w:t>Approved recommendations / eligible recommendations</w:t>
            </w:r>
          </w:p>
        </w:tc>
      </w:tr>
      <w:tr>
        <w:tc>
          <w:tcPr>
            <w:tcW w:type="dxa" w:w="5040"/>
            <w:vAlign w:val="center"/>
          </w:tcPr>
          <w:p>
            <w:r/>
            <w:r>
              <w:t>False/unsupported action rate</w:t>
            </w:r>
          </w:p>
        </w:tc>
        <w:tc>
          <w:tcPr>
            <w:tcW w:type="dxa" w:w="5040"/>
            <w:vAlign w:val="center"/>
          </w:tcPr>
          <w:p>
            <w:r/>
            <w:r>
              <w:t>Recommendations later rejected for diagnosis/procedure error</w:t>
            </w:r>
          </w:p>
        </w:tc>
      </w:tr>
      <w:tr>
        <w:tc>
          <w:tcPr>
            <w:tcW w:type="dxa" w:w="5040"/>
            <w:vAlign w:val="center"/>
          </w:tcPr>
          <w:p>
            <w:r/>
            <w:r>
              <w:t>RUL-window compliance</w:t>
            </w:r>
          </w:p>
        </w:tc>
        <w:tc>
          <w:tcPr>
            <w:tcW w:type="dxa" w:w="5040"/>
            <w:vAlign w:val="center"/>
          </w:tcPr>
          <w:p>
            <w:r/>
            <w:r>
              <w:t>Approved jobs completed before minimum RUL date</w:t>
            </w:r>
          </w:p>
        </w:tc>
      </w:tr>
      <w:tr>
        <w:tc>
          <w:tcPr>
            <w:tcW w:type="dxa" w:w="5040"/>
            <w:vAlign w:val="center"/>
          </w:tcPr>
          <w:p>
            <w:r/>
            <w:r>
              <w:t>Unplanned downtime avoided</w:t>
            </w:r>
          </w:p>
        </w:tc>
        <w:tc>
          <w:tcPr>
            <w:tcW w:type="dxa" w:w="5040"/>
            <w:vAlign w:val="center"/>
          </w:tcPr>
          <w:p>
            <w:r/>
            <w:r>
              <w:t>Validated comparison with historical/baseline events</w:t>
            </w:r>
          </w:p>
        </w:tc>
      </w:tr>
      <w:tr>
        <w:tc>
          <w:tcPr>
            <w:tcW w:type="dxa" w:w="5040"/>
            <w:vAlign w:val="center"/>
          </w:tcPr>
          <w:p>
            <w:r/>
            <w:r>
              <w:t>Planned-to-unplanned cost ratio</w:t>
            </w:r>
          </w:p>
        </w:tc>
        <w:tc>
          <w:tcPr>
            <w:tcW w:type="dxa" w:w="5040"/>
            <w:vAlign w:val="center"/>
          </w:tcPr>
          <w:p>
            <w:r/>
            <w:r>
              <w:t>Approved finance data only</w:t>
            </w:r>
          </w:p>
        </w:tc>
      </w:tr>
      <w:tr>
        <w:tc>
          <w:tcPr>
            <w:tcW w:type="dxa" w:w="5040"/>
            <w:vAlign w:val="center"/>
          </w:tcPr>
          <w:p>
            <w:r/>
            <w:r>
              <w:t>Data rejection/flag rate</w:t>
            </w:r>
          </w:p>
        </w:tc>
        <w:tc>
          <w:tcPr>
            <w:tcW w:type="dxa" w:w="5040"/>
            <w:vAlign w:val="center"/>
          </w:tcPr>
          <w:p>
            <w:r/>
            <w:r>
              <w:t>Agent 1 rejected or flagged events / received events</w:t>
            </w:r>
          </w:p>
        </w:tc>
      </w:tr>
      <w:tr>
        <w:tc>
          <w:tcPr>
            <w:tcW w:type="dxa" w:w="5040"/>
            <w:vAlign w:val="center"/>
          </w:tcPr>
          <w:p>
            <w:r/>
            <w:r>
              <w:t>Clarification success</w:t>
            </w:r>
          </w:p>
        </w:tc>
        <w:tc>
          <w:tcPr>
            <w:tcW w:type="dxa" w:w="5040"/>
            <w:vAlign w:val="center"/>
          </w:tcPr>
          <w:p>
            <w:r/>
            <w:r>
              <w:t>Follow-ups that supplied the missing governed evidence</w:t>
            </w:r>
          </w:p>
        </w:tc>
      </w:tr>
      <w:tr>
        <w:tc>
          <w:tcPr>
            <w:tcW w:type="dxa" w:w="5040"/>
            <w:vAlign w:val="center"/>
          </w:tcPr>
          <w:p>
            <w:r/>
            <w:r>
              <w:t>SOP grounding rate</w:t>
            </w:r>
          </w:p>
        </w:tc>
        <w:tc>
          <w:tcPr>
            <w:tcW w:type="dxa" w:w="5040"/>
            <w:vAlign w:val="center"/>
          </w:tcPr>
          <w:p>
            <w:r/>
            <w:r>
              <w:t>Eligible cases with cited applicable guidance</w:t>
            </w:r>
          </w:p>
        </w:tc>
      </w:tr>
      <w:tr>
        <w:tc>
          <w:tcPr>
            <w:tcW w:type="dxa" w:w="5040"/>
            <w:vAlign w:val="center"/>
          </w:tcPr>
          <w:p>
            <w:r/>
            <w:r>
              <w:t>Learning closure rate</w:t>
            </w:r>
          </w:p>
        </w:tc>
        <w:tc>
          <w:tcPr>
            <w:tcW w:type="dxa" w:w="5040"/>
            <w:vAlign w:val="center"/>
          </w:tcPr>
          <w:p>
            <w:r/>
            <w:r>
              <w:t>Completed executions producing validated learned cases</w:t>
            </w:r>
          </w:p>
        </w:tc>
      </w:tr>
      <w:tr>
        <w:tc>
          <w:tcPr>
            <w:tcW w:type="dxa" w:w="5040"/>
            <w:vAlign w:val="center"/>
          </w:tcPr>
          <w:p>
            <w:r/>
            <w:r>
              <w:t>Escalation response time</w:t>
            </w:r>
          </w:p>
        </w:tc>
        <w:tc>
          <w:tcPr>
            <w:tcW w:type="dxa" w:w="5040"/>
            <w:vAlign w:val="center"/>
          </w:tcPr>
          <w:p>
            <w:r/>
            <w:r>
              <w:t>Time from escalation to authorized decision</w:t>
            </w:r>
          </w:p>
        </w:tc>
      </w:tr>
      <w:tr>
        <w:tc>
          <w:tcPr>
            <w:tcW w:type="dxa" w:w="5040"/>
            <w:vAlign w:val="center"/>
          </w:tcPr>
          <w:p>
            <w:r/>
            <w:r>
              <w:t>Persona usefulness</w:t>
            </w:r>
          </w:p>
        </w:tc>
        <w:tc>
          <w:tcPr>
            <w:tcW w:type="dxa" w:w="5040"/>
            <w:vAlign w:val="center"/>
          </w:tcPr>
          <w:p>
            <w:r/>
            <w:r>
              <w:t>Role-specific user rating and task completion time</w:t>
            </w:r>
          </w:p>
        </w:tc>
      </w:tr>
    </w:tbl>
    <w:p>
      <w:pPr>
        <w:spacing w:after="40"/>
      </w:pPr>
    </w:p>
    <w:p>
      <w:r>
        <w:t>LLM fluency should not be the principal KPI. Evidence quality, safe decisions, time saved and confirmed maintenance outcome matter more.</w:t>
      </w:r>
    </w:p>
    <w:p>
      <w:pPr>
        <w:pStyle w:val="Heading2"/>
      </w:pPr>
      <w:r>
        <w:t>18. Governance and operating model</w:t>
      </w:r>
    </w:p>
    <w:p>
      <w:pPr>
        <w:pStyle w:val="Heading3"/>
      </w:pPr>
      <w:r>
        <w:t>Required owners</w:t>
      </w:r>
    </w:p>
    <w:p>
      <w:pPr>
        <w:pStyle w:val="ListBullet"/>
      </w:pPr>
      <w:r>
        <w:rPr>
          <w:b/>
        </w:rPr>
        <w:t>Product owner:</w:t>
      </w:r>
      <w:r>
        <w:t xml:space="preserve"> scope, personas and acceptance criteria.</w:t>
      </w:r>
    </w:p>
    <w:p>
      <w:pPr>
        <w:pStyle w:val="ListBullet"/>
      </w:pPr>
      <w:r>
        <w:rPr>
          <w:b/>
        </w:rPr>
        <w:t>Reliability owner:</w:t>
      </w:r>
      <w:r>
        <w:t xml:space="preserve"> fault taxonomy, RUL and detection thresholds.</w:t>
      </w:r>
    </w:p>
    <w:p>
      <w:pPr>
        <w:pStyle w:val="ListBullet"/>
      </w:pPr>
      <w:r>
        <w:rPr>
          <w:b/>
        </w:rPr>
        <w:t>OT/data owner:</w:t>
      </w:r>
      <w:r>
        <w:t xml:space="preserve"> signal contract, freshness, quality and master data.</w:t>
      </w:r>
    </w:p>
    <w:p>
      <w:pPr>
        <w:pStyle w:val="ListBullet"/>
      </w:pPr>
      <w:r>
        <w:rPr>
          <w:b/>
        </w:rPr>
        <w:t>Maintenance owner:</w:t>
      </w:r>
      <w:r>
        <w:t xml:space="preserve"> action, duration, parts, crew and work-order policy.</w:t>
      </w:r>
    </w:p>
    <w:p>
      <w:pPr>
        <w:pStyle w:val="ListBullet"/>
      </w:pPr>
      <w:r>
        <w:rPr>
          <w:b/>
        </w:rPr>
        <w:t>Safety owner:</w:t>
      </w:r>
      <w:r>
        <w:t xml:space="preserve"> SOP, LOTO, PPE and permit content.</w:t>
      </w:r>
    </w:p>
    <w:p>
      <w:pPr>
        <w:pStyle w:val="ListBullet"/>
      </w:pPr>
      <w:r>
        <w:rPr>
          <w:b/>
        </w:rPr>
        <w:t>Operations/Finance owner:</w:t>
      </w:r>
      <w:r>
        <w:t xml:space="preserve"> costs, production impact and authority limits.</w:t>
      </w:r>
    </w:p>
    <w:p>
      <w:pPr>
        <w:pStyle w:val="ListBullet"/>
      </w:pPr>
      <w:r>
        <w:rPr>
          <w:b/>
        </w:rPr>
        <w:t>IT/security owner:</w:t>
      </w:r>
      <w:r>
        <w:t xml:space="preserve"> identity, secrets, RBAC, audit and retention.</w:t>
      </w:r>
    </w:p>
    <w:p>
      <w:pPr>
        <w:pStyle w:val="ListBullet"/>
      </w:pPr>
      <w:r>
        <w:rPr>
          <w:b/>
        </w:rPr>
        <w:t>Knowledge owner:</w:t>
      </w:r>
      <w:r>
        <w:t xml:space="preserve"> document approval, Azure index and citation quality.</w:t>
      </w:r>
    </w:p>
    <w:p>
      <w:pPr>
        <w:pStyle w:val="ListBullet"/>
      </w:pPr>
      <w:r>
        <w:rPr>
          <w:b/>
        </w:rPr>
        <w:t>Model-risk owner:</w:t>
      </w:r>
      <w:r>
        <w:t xml:space="preserve"> LLM/evaluation policy and trace privacy.</w:t>
      </w:r>
    </w:p>
    <w:p>
      <w:pPr>
        <w:pStyle w:val="Heading3"/>
      </w:pPr>
      <w:r>
        <w:t>Change approval examples</w:t>
      </w:r>
    </w:p>
    <w:p>
      <w:pPr>
        <w:pStyle w:val="ListBullet"/>
      </w:pPr>
      <w:r>
        <w:t>Increasing live-data age from 5 to 15 minutes requires OT/Reliability review.</w:t>
      </w:r>
    </w:p>
    <w:p>
      <w:pPr>
        <w:pStyle w:val="ListBullet"/>
      </w:pPr>
      <w:r>
        <w:t>Lowering anomaly threshold requires Reliability calibration and false-positive</w:t>
      </w:r>
    </w:p>
    <w:p>
      <w:r>
        <w:t>testing.</w:t>
      </w:r>
    </w:p>
    <w:p>
      <w:pPr>
        <w:pStyle w:val="ListBullet"/>
      </w:pPr>
      <w:r>
        <w:t>Changing RUL values requires Reliability/OEM evidence.</w:t>
      </w:r>
    </w:p>
    <w:p>
      <w:pPr>
        <w:pStyle w:val="ListBullet"/>
      </w:pPr>
      <w:r>
        <w:t>Adding a new approval role requires Operations and Security approval.</w:t>
      </w:r>
    </w:p>
    <w:p>
      <w:pPr>
        <w:pStyle w:val="ListBullet"/>
      </w:pPr>
      <w:r>
        <w:t>Updating costs requires Finance/ERP validation.</w:t>
      </w:r>
    </w:p>
    <w:p>
      <w:pPr>
        <w:pStyle w:val="ListBullet"/>
      </w:pPr>
      <w:r>
        <w:t>Adding an SOP requires Safety/Knowledge approval and index lifecycle tracking.</w:t>
      </w:r>
    </w:p>
    <w:p>
      <w:pPr>
        <w:pStyle w:val="ListBullet"/>
      </w:pPr>
      <w:r>
        <w:t>Enabling remote traces requires security/privacy approval.</w:t>
      </w:r>
    </w:p>
    <w:p>
      <w:pPr>
        <w:pStyle w:val="Heading2"/>
      </w:pPr>
      <w:r>
        <w:t>19. Risks and safeguards</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shd w:fill="D9EAF7"/>
          </w:tcPr>
          <w:p>
            <w:r>
              <w:rPr>
                <w:b/>
              </w:rPr>
            </w:r>
            <w:r>
              <w:rPr>
                <w:b/>
              </w:rPr>
              <w:t>Risk</w:t>
            </w:r>
          </w:p>
        </w:tc>
        <w:tc>
          <w:tcPr>
            <w:tcW w:type="dxa" w:w="3360"/>
            <w:vAlign w:val="center"/>
            <w:shd w:fill="D9EAF7"/>
          </w:tcPr>
          <w:p>
            <w:r>
              <w:rPr>
                <w:b/>
              </w:rPr>
            </w:r>
            <w:r>
              <w:rPr>
                <w:b/>
              </w:rPr>
              <w:t>Current safeguard</w:t>
            </w:r>
          </w:p>
        </w:tc>
        <w:tc>
          <w:tcPr>
            <w:tcW w:type="dxa" w:w="3360"/>
            <w:vAlign w:val="center"/>
            <w:shd w:fill="D9EAF7"/>
          </w:tcPr>
          <w:p>
            <w:r>
              <w:rPr>
                <w:b/>
              </w:rPr>
            </w:r>
            <w:r>
              <w:rPr>
                <w:b/>
              </w:rPr>
              <w:t>Remaining action</w:t>
            </w:r>
          </w:p>
        </w:tc>
      </w:tr>
      <w:tr>
        <w:tc>
          <w:tcPr>
            <w:tcW w:type="dxa" w:w="3360"/>
            <w:vAlign w:val="center"/>
          </w:tcPr>
          <w:p>
            <w:r/>
            <w:r>
              <w:t>Fabricated asset result</w:t>
            </w:r>
          </w:p>
        </w:tc>
        <w:tc>
          <w:tcPr>
            <w:tcW w:type="dxa" w:w="3360"/>
            <w:vAlign w:val="center"/>
          </w:tcPr>
          <w:p>
            <w:r/>
            <w:r>
              <w:t>Evidence gating and clarification</w:t>
            </w:r>
          </w:p>
        </w:tc>
        <w:tc>
          <w:tcPr>
            <w:tcW w:type="dxa" w:w="3360"/>
            <w:vAlign w:val="center"/>
          </w:tcPr>
          <w:p>
            <w:r/>
            <w:r>
              <w:t>Validate every new chat route</w:t>
            </w:r>
          </w:p>
        </w:tc>
      </w:tr>
      <w:tr>
        <w:tc>
          <w:tcPr>
            <w:tcW w:type="dxa" w:w="3360"/>
            <w:vAlign w:val="center"/>
          </w:tcPr>
          <w:p>
            <w:r/>
            <w:r>
              <w:t>Bad sensor drives work</w:t>
            </w:r>
          </w:p>
        </w:tc>
        <w:tc>
          <w:tcPr>
            <w:tcW w:type="dxa" w:w="3360"/>
            <w:vAlign w:val="center"/>
          </w:tcPr>
          <w:p>
            <w:r/>
            <w:r>
              <w:t>Agent 1 quality/mapping/freshness gate</w:t>
            </w:r>
          </w:p>
        </w:tc>
        <w:tc>
          <w:tcPr>
            <w:tcW w:type="dxa" w:w="3360"/>
            <w:vAlign w:val="center"/>
          </w:tcPr>
          <w:p>
            <w:r/>
            <w:r>
              <w:t>Connect governed historian quality</w:t>
            </w:r>
          </w:p>
        </w:tc>
      </w:tr>
      <w:tr>
        <w:tc>
          <w:tcPr>
            <w:tcW w:type="dxa" w:w="3360"/>
            <w:vAlign w:val="center"/>
          </w:tcPr>
          <w:p>
            <w:r/>
            <w:r>
              <w:t>LLM changes decision</w:t>
            </w:r>
          </w:p>
        </w:tc>
        <w:tc>
          <w:tcPr>
            <w:tcW w:type="dxa" w:w="3360"/>
            <w:vAlign w:val="center"/>
          </w:tcPr>
          <w:p>
            <w:r/>
            <w:r>
              <w:t>Deterministic authority and bounded advisory fields</w:t>
            </w:r>
          </w:p>
        </w:tc>
        <w:tc>
          <w:tcPr>
            <w:tcW w:type="dxa" w:w="3360"/>
            <w:vAlign w:val="center"/>
          </w:tcPr>
          <w:p>
            <w:r/>
            <w:r>
              <w:t>Formal model-risk review</w:t>
            </w:r>
          </w:p>
        </w:tc>
      </w:tr>
      <w:tr>
        <w:tc>
          <w:tcPr>
            <w:tcW w:type="dxa" w:w="3360"/>
            <w:vAlign w:val="center"/>
          </w:tcPr>
          <w:p>
            <w:r/>
            <w:r>
              <w:t>Wrong user approves</w:t>
            </w:r>
          </w:p>
        </w:tc>
        <w:tc>
          <w:tcPr>
            <w:tcW w:type="dxa" w:w="3360"/>
            <w:vAlign w:val="center"/>
          </w:tcPr>
          <w:p>
            <w:r/>
            <w:r>
              <w:t>Persona visibility plus backend gate permission</w:t>
            </w:r>
          </w:p>
        </w:tc>
        <w:tc>
          <w:tcPr>
            <w:tcW w:type="dxa" w:w="3360"/>
            <w:vAlign w:val="center"/>
          </w:tcPr>
          <w:p>
            <w:r/>
            <w:r>
              <w:t>Enterprise SSO/RBAC/action identity</w:t>
            </w:r>
          </w:p>
        </w:tc>
      </w:tr>
      <w:tr>
        <w:tc>
          <w:tcPr>
            <w:tcW w:type="dxa" w:w="3360"/>
            <w:vAlign w:val="center"/>
          </w:tcPr>
          <w:p>
            <w:r/>
            <w:r>
              <w:t>Escalation lost</w:t>
            </w:r>
          </w:p>
        </w:tc>
        <w:tc>
          <w:tcPr>
            <w:tcW w:type="dxa" w:w="3360"/>
            <w:vAlign w:val="center"/>
          </w:tcPr>
          <w:p>
            <w:r/>
            <w:r>
              <w:t>UI timer/inbox transfer</w:t>
            </w:r>
          </w:p>
        </w:tc>
        <w:tc>
          <w:tcPr>
            <w:tcW w:type="dxa" w:w="3360"/>
            <w:vAlign w:val="center"/>
          </w:tcPr>
          <w:p>
            <w:r/>
            <w:r>
              <w:t>Durable backend scheduler</w:t>
            </w:r>
          </w:p>
        </w:tc>
      </w:tr>
      <w:tr>
        <w:tc>
          <w:tcPr>
            <w:tcW w:type="dxa" w:w="3360"/>
            <w:vAlign w:val="center"/>
          </w:tcPr>
          <w:p>
            <w:r/>
            <w:r>
              <w:t>Uncited procedure</w:t>
            </w:r>
          </w:p>
        </w:tc>
        <w:tc>
          <w:tcPr>
            <w:tcW w:type="dxa" w:w="3360"/>
            <w:vAlign w:val="center"/>
          </w:tcPr>
          <w:p>
            <w:r/>
            <w:r>
              <w:t>Source-required RAG</w:t>
            </w:r>
          </w:p>
        </w:tc>
        <w:tc>
          <w:tcPr>
            <w:tcW w:type="dxa" w:w="3360"/>
            <w:vAlign w:val="center"/>
          </w:tcPr>
          <w:p>
            <w:r/>
            <w:r>
              <w:t>Production document governance</w:t>
            </w:r>
          </w:p>
        </w:tc>
      </w:tr>
      <w:tr>
        <w:tc>
          <w:tcPr>
            <w:tcW w:type="dxa" w:w="3360"/>
            <w:vAlign w:val="center"/>
          </w:tcPr>
          <w:p>
            <w:r/>
            <w:r>
              <w:t>Demo costs treated as facts</w:t>
            </w:r>
          </w:p>
        </w:tc>
        <w:tc>
          <w:tcPr>
            <w:tcW w:type="dxa" w:w="3360"/>
            <w:vAlign w:val="center"/>
          </w:tcPr>
          <w:p>
            <w:r/>
            <w:r>
              <w:t>Demo labels</w:t>
            </w:r>
          </w:p>
        </w:tc>
        <w:tc>
          <w:tcPr>
            <w:tcW w:type="dxa" w:w="3360"/>
            <w:vAlign w:val="center"/>
          </w:tcPr>
          <w:p>
            <w:r/>
            <w:r>
              <w:t>ERP/Finance integration and approval</w:t>
            </w:r>
          </w:p>
        </w:tc>
      </w:tr>
      <w:tr>
        <w:tc>
          <w:tcPr>
            <w:tcW w:type="dxa" w:w="3360"/>
            <w:vAlign w:val="center"/>
          </w:tcPr>
          <w:p>
            <w:r/>
            <w:r>
              <w:t>Duplicate/replayed decision</w:t>
            </w:r>
          </w:p>
        </w:tc>
        <w:tc>
          <w:tcPr>
            <w:tcW w:type="dxa" w:w="3360"/>
            <w:vAlign w:val="center"/>
          </w:tcPr>
          <w:p>
            <w:r/>
            <w:r>
              <w:t>HITL atomic claim/idempotency</w:t>
            </w:r>
          </w:p>
        </w:tc>
        <w:tc>
          <w:tcPr>
            <w:tcW w:type="dxa" w:w="3360"/>
            <w:vAlign w:val="center"/>
          </w:tcPr>
          <w:p>
            <w:r/>
            <w:r>
              <w:t>Production concurrency/load testing</w:t>
            </w:r>
          </w:p>
        </w:tc>
      </w:tr>
      <w:tr>
        <w:tc>
          <w:tcPr>
            <w:tcW w:type="dxa" w:w="3360"/>
            <w:vAlign w:val="center"/>
          </w:tcPr>
          <w:p>
            <w:r/>
            <w:r>
              <w:t>Incomplete learning</w:t>
            </w:r>
          </w:p>
        </w:tc>
        <w:tc>
          <w:tcPr>
            <w:tcW w:type="dxa" w:w="3360"/>
            <w:vAlign w:val="center"/>
          </w:tcPr>
          <w:p>
            <w:r/>
            <w:r>
              <w:t>Root-cause/time/execution checks</w:t>
            </w:r>
          </w:p>
        </w:tc>
        <w:tc>
          <w:tcPr>
            <w:tcW w:type="dxa" w:w="3360"/>
            <w:vAlign w:val="center"/>
          </w:tcPr>
          <w:p>
            <w:r/>
            <w:r>
              <w:t>Closure workflow integration</w:t>
            </w:r>
          </w:p>
        </w:tc>
      </w:tr>
      <w:tr>
        <w:tc>
          <w:tcPr>
            <w:tcW w:type="dxa" w:w="3360"/>
            <w:vAlign w:val="center"/>
          </w:tcPr>
          <w:p>
            <w:r/>
            <w:r>
              <w:t>Sensitive trace data</w:t>
            </w:r>
          </w:p>
        </w:tc>
        <w:tc>
          <w:tcPr>
            <w:tcW w:type="dxa" w:w="3360"/>
            <w:vAlign w:val="center"/>
          </w:tcPr>
          <w:p>
            <w:r/>
            <w:r>
              <w:t>Tracing off by default</w:t>
            </w:r>
          </w:p>
        </w:tc>
        <w:tc>
          <w:tcPr>
            <w:tcW w:type="dxa" w:w="3360"/>
            <w:vAlign w:val="center"/>
          </w:tcPr>
          <w:p>
            <w:r/>
            <w:r>
              <w:t>Approved workspace and redaction policy</w:t>
            </w:r>
          </w:p>
        </w:tc>
      </w:tr>
    </w:tbl>
    <w:p>
      <w:pPr>
        <w:spacing w:after="40"/>
      </w:pPr>
    </w:p>
    <w:p>
      <w:pPr>
        <w:pStyle w:val="Heading2"/>
      </w:pPr>
      <w:r>
        <w:t>20. Production roadmap</w:t>
      </w:r>
    </w:p>
    <w:p>
      <w:pPr>
        <w:pStyle w:val="Heading3"/>
      </w:pPr>
      <w:r>
        <w:t>Priority 1 - Governed integrations</w:t>
      </w:r>
    </w:p>
    <w:p>
      <w:pPr>
        <w:pStyle w:val="ListBullet"/>
      </w:pPr>
      <w:r>
        <w:t>Live historian/OPC-UA/Event Hub adapter.</w:t>
      </w:r>
    </w:p>
    <w:p>
      <w:pPr>
        <w:pStyle w:val="ListBullet"/>
      </w:pPr>
      <w:r>
        <w:t>CMMS/EAM, inventory and notification adapters.</w:t>
      </w:r>
    </w:p>
    <w:p>
      <w:pPr>
        <w:pStyle w:val="ListBullet"/>
      </w:pPr>
      <w:r>
        <w:t>Approved asset, bearing, cost, crew and work-order master data.</w:t>
      </w:r>
    </w:p>
    <w:p>
      <w:pPr>
        <w:pStyle w:val="Heading3"/>
      </w:pPr>
      <w:r>
        <w:t>Priority 2 - Security and durability</w:t>
      </w:r>
    </w:p>
    <w:p>
      <w:pPr>
        <w:pStyle w:val="ListBullet"/>
      </w:pPr>
      <w:r>
        <w:t>Key Vault/workload identity and secret rotation.</w:t>
      </w:r>
    </w:p>
    <w:p>
      <w:pPr>
        <w:pStyle w:val="ListBullet"/>
      </w:pPr>
      <w:r>
        <w:t>Enterprise SSO and action-level RBAC.</w:t>
      </w:r>
    </w:p>
    <w:p>
      <w:pPr>
        <w:pStyle w:val="ListBullet"/>
      </w:pPr>
      <w:r>
        <w:t>Durable backend escalation scheduler.</w:t>
      </w:r>
    </w:p>
    <w:p>
      <w:pPr>
        <w:pStyle w:val="ListBullet"/>
      </w:pPr>
      <w:r>
        <w:t>Production repository/state strategy and retention.</w:t>
      </w:r>
    </w:p>
    <w:p>
      <w:pPr>
        <w:pStyle w:val="Heading3"/>
      </w:pPr>
      <w:r>
        <w:t>Priority 3 - Knowledge and evaluation</w:t>
      </w:r>
    </w:p>
    <w:p>
      <w:pPr>
        <w:pStyle w:val="ListBullet"/>
      </w:pPr>
      <w:r>
        <w:t>Validate Azure AI Search relevance, citations and access.</w:t>
      </w:r>
    </w:p>
    <w:p>
      <w:pPr>
        <w:pStyle w:val="ListBullet"/>
      </w:pPr>
      <w:r>
        <w:t>Establish SOP approval/version/deletion lifecycle.</w:t>
      </w:r>
    </w:p>
    <w:p>
      <w:pPr>
        <w:pStyle w:val="ListBullet"/>
      </w:pPr>
      <w:r>
        <w:t>Calibrate LangSmith offline and online evaluators using the 50-question pack.</w:t>
      </w:r>
    </w:p>
    <w:p>
      <w:pPr>
        <w:pStyle w:val="ListBullet"/>
      </w:pPr>
      <w:r>
        <w:t>Add Langfuse/observability retention and privacy controls.</w:t>
      </w:r>
    </w:p>
    <w:p>
      <w:pPr>
        <w:pStyle w:val="Heading3"/>
      </w:pPr>
      <w:r>
        <w:t>Priority 4 - Pilot and scale</w:t>
      </w:r>
    </w:p>
    <w:p>
      <w:pPr>
        <w:pStyle w:val="ListBullet"/>
      </w:pPr>
      <w:r>
        <w:t>Shadow at least three historical/live bearing events.</w:t>
      </w:r>
    </w:p>
    <w:p>
      <w:pPr>
        <w:pStyle w:val="ListBullet"/>
      </w:pPr>
      <w:r>
        <w:t>Compare outputs with Reliability and Maintenance decisions.</w:t>
      </w:r>
    </w:p>
    <w:p>
      <w:pPr>
        <w:pStyle w:val="ListBullet"/>
      </w:pPr>
      <w:r>
        <w:t>Calibrate thresholds/RUL/action policy.</w:t>
      </w:r>
    </w:p>
    <w:p>
      <w:pPr>
        <w:pStyle w:val="ListBullet"/>
      </w:pPr>
      <w:r>
        <w:t>Add frontend component/E2E and CI certification.</w:t>
      </w:r>
    </w:p>
    <w:p>
      <w:pPr>
        <w:pStyle w:val="ListBullet"/>
      </w:pPr>
      <w:r>
        <w:t>Approve go-live criteria and operating support model.</w:t>
      </w:r>
    </w:p>
    <w:p>
      <w:pPr>
        <w:pStyle w:val="Heading2"/>
      </w:pPr>
      <w:r>
        <w:t>21. Business glossary</w:t>
      </w:r>
    </w:p>
    <w:tbl>
      <w:tblPr>
        <w:tblStyle w:val="TableGrid"/>
        <w:tblW w:type="auto" w:w="0"/>
        <w:tblLayout w:type="autofit"/>
        <w:tblLook w:firstColumn="1" w:firstRow="1" w:lastColumn="0" w:lastRow="0" w:noHBand="0" w:noVBand="1" w:val="04A0"/>
      </w:tblPr>
      <w:tblGrid>
        <w:gridCol w:w="5040"/>
        <w:gridCol w:w="5040"/>
      </w:tblGrid>
      <w:tr>
        <w:tc>
          <w:tcPr>
            <w:tcW w:type="dxa" w:w="5040"/>
            <w:vAlign w:val="center"/>
            <w:shd w:fill="D9EAF7"/>
          </w:tcPr>
          <w:p>
            <w:r>
              <w:rPr>
                <w:b/>
              </w:rPr>
            </w:r>
            <w:r>
              <w:rPr>
                <w:b/>
              </w:rPr>
              <w:t>Term</w:t>
            </w:r>
          </w:p>
        </w:tc>
        <w:tc>
          <w:tcPr>
            <w:tcW w:type="dxa" w:w="5040"/>
            <w:vAlign w:val="center"/>
            <w:shd w:fill="D9EAF7"/>
          </w:tcPr>
          <w:p>
            <w:r>
              <w:rPr>
                <w:b/>
              </w:rPr>
            </w:r>
            <w:r>
              <w:rPr>
                <w:b/>
              </w:rPr>
              <w:t>Meaning in DRO</w:t>
            </w:r>
          </w:p>
        </w:tc>
      </w:tr>
      <w:tr>
        <w:tc>
          <w:tcPr>
            <w:tcW w:type="dxa" w:w="5040"/>
            <w:vAlign w:val="center"/>
          </w:tcPr>
          <w:p>
            <w:r/>
            <w:r>
              <w:t>RUL</w:t>
            </w:r>
          </w:p>
        </w:tc>
        <w:tc>
          <w:tcPr>
            <w:tcW w:type="dxa" w:w="5040"/>
            <w:vAlign w:val="center"/>
          </w:tcPr>
          <w:p>
            <w:r/>
            <w:r>
              <w:t>Estimated remaining useful life; a governed estimate, not a guarantee</w:t>
            </w:r>
          </w:p>
        </w:tc>
      </w:tr>
      <w:tr>
        <w:tc>
          <w:tcPr>
            <w:tcW w:type="dxa" w:w="5040"/>
            <w:vAlign w:val="center"/>
          </w:tcPr>
          <w:p>
            <w:r/>
            <w:r>
              <w:t>BPFO</w:t>
            </w:r>
          </w:p>
        </w:tc>
        <w:tc>
          <w:tcPr>
            <w:tcW w:type="dxa" w:w="5040"/>
            <w:vAlign w:val="center"/>
          </w:tcPr>
          <w:p>
            <w:r/>
            <w:r>
              <w:t>Ball-pass frequency outer race; evidence associated with outer-race defects</w:t>
            </w:r>
          </w:p>
        </w:tc>
      </w:tr>
      <w:tr>
        <w:tc>
          <w:tcPr>
            <w:tcW w:type="dxa" w:w="5040"/>
            <w:vAlign w:val="center"/>
          </w:tcPr>
          <w:p>
            <w:r/>
            <w:r>
              <w:t>BPFI</w:t>
            </w:r>
          </w:p>
        </w:tc>
        <w:tc>
          <w:tcPr>
            <w:tcW w:type="dxa" w:w="5040"/>
            <w:vAlign w:val="center"/>
          </w:tcPr>
          <w:p>
            <w:r/>
            <w:r>
              <w:t>Ball-pass frequency inner race; evidence associated with inner-race defects</w:t>
            </w:r>
          </w:p>
        </w:tc>
      </w:tr>
      <w:tr>
        <w:tc>
          <w:tcPr>
            <w:tcW w:type="dxa" w:w="5040"/>
            <w:vAlign w:val="center"/>
          </w:tcPr>
          <w:p>
            <w:r/>
            <w:r>
              <w:t>BSF</w:t>
            </w:r>
          </w:p>
        </w:tc>
        <w:tc>
          <w:tcPr>
            <w:tcW w:type="dxa" w:w="5040"/>
            <w:vAlign w:val="center"/>
          </w:tcPr>
          <w:p>
            <w:r/>
            <w:r>
              <w:t>Ball-spin frequency; evidence associated with rolling elements</w:t>
            </w:r>
          </w:p>
        </w:tc>
      </w:tr>
      <w:tr>
        <w:tc>
          <w:tcPr>
            <w:tcW w:type="dxa" w:w="5040"/>
            <w:vAlign w:val="center"/>
          </w:tcPr>
          <w:p>
            <w:r/>
            <w:r>
              <w:t>FTF</w:t>
            </w:r>
          </w:p>
        </w:tc>
        <w:tc>
          <w:tcPr>
            <w:tcW w:type="dxa" w:w="5040"/>
            <w:vAlign w:val="center"/>
          </w:tcPr>
          <w:p>
            <w:r/>
            <w:r>
              <w:t>Fundamental train frequency; evidence associated with bearing cage behaviour</w:t>
            </w:r>
          </w:p>
        </w:tc>
      </w:tr>
      <w:tr>
        <w:tc>
          <w:tcPr>
            <w:tcW w:type="dxa" w:w="5040"/>
            <w:vAlign w:val="center"/>
          </w:tcPr>
          <w:p>
            <w:r/>
            <w:r>
              <w:t>ISO stage</w:t>
            </w:r>
          </w:p>
        </w:tc>
        <w:tc>
          <w:tcPr>
            <w:tcW w:type="dxa" w:w="5040"/>
            <w:vAlign w:val="center"/>
          </w:tcPr>
          <w:p>
            <w:r/>
            <w:r>
              <w:t>Configured severity/degradation stage used by diagnosis and RUL policy</w:t>
            </w:r>
          </w:p>
        </w:tc>
      </w:tr>
      <w:tr>
        <w:tc>
          <w:tcPr>
            <w:tcW w:type="dxa" w:w="5040"/>
            <w:vAlign w:val="center"/>
          </w:tcPr>
          <w:p>
            <w:r/>
            <w:r>
              <w:t>Health index</w:t>
            </w:r>
          </w:p>
        </w:tc>
        <w:tc>
          <w:tcPr>
            <w:tcW w:type="dxa" w:w="5040"/>
            <w:vAlign w:val="center"/>
          </w:tcPr>
          <w:p>
            <w:r/>
            <w:r>
              <w:t>Bounded summary indicator produced by risk assessment</w:t>
            </w:r>
          </w:p>
        </w:tc>
      </w:tr>
      <w:tr>
        <w:tc>
          <w:tcPr>
            <w:tcW w:type="dxa" w:w="5040"/>
            <w:vAlign w:val="center"/>
          </w:tcPr>
          <w:p>
            <w:r/>
            <w:r>
              <w:t>HITL</w:t>
            </w:r>
          </w:p>
        </w:tc>
        <w:tc>
          <w:tcPr>
            <w:tcW w:type="dxa" w:w="5040"/>
            <w:vAlign w:val="center"/>
          </w:tcPr>
          <w:p>
            <w:r/>
            <w:r>
              <w:t>Human-in-the-loop decision required before the flow continues</w:t>
            </w:r>
          </w:p>
        </w:tc>
      </w:tr>
      <w:tr>
        <w:tc>
          <w:tcPr>
            <w:tcW w:type="dxa" w:w="5040"/>
            <w:vAlign w:val="center"/>
          </w:tcPr>
          <w:p>
            <w:r/>
            <w:r>
              <w:t>RAG</w:t>
            </w:r>
          </w:p>
        </w:tc>
        <w:tc>
          <w:tcPr>
            <w:tcW w:type="dxa" w:w="5040"/>
            <w:vAlign w:val="center"/>
          </w:tcPr>
          <w:p>
            <w:r/>
            <w:r>
              <w:t>Retrieval-augmented generation using controlled source documents</w:t>
            </w:r>
          </w:p>
        </w:tc>
      </w:tr>
      <w:tr>
        <w:tc>
          <w:tcPr>
            <w:tcW w:type="dxa" w:w="5040"/>
            <w:vAlign w:val="center"/>
          </w:tcPr>
          <w:p>
            <w:r/>
            <w:r>
              <w:t>Grounded</w:t>
            </w:r>
          </w:p>
        </w:tc>
        <w:tc>
          <w:tcPr>
            <w:tcW w:type="dxa" w:w="5040"/>
            <w:vAlign w:val="center"/>
          </w:tcPr>
          <w:p>
            <w:r/>
            <w:r>
              <w:t>Supported by a retrievable, identified source</w:t>
            </w:r>
          </w:p>
        </w:tc>
      </w:tr>
      <w:tr>
        <w:tc>
          <w:tcPr>
            <w:tcW w:type="dxa" w:w="5040"/>
            <w:vAlign w:val="center"/>
          </w:tcPr>
          <w:p>
            <w:r/>
            <w:r>
              <w:t>Reflexion</w:t>
            </w:r>
          </w:p>
        </w:tc>
        <w:tc>
          <w:tcPr>
            <w:tcW w:type="dxa" w:w="5040"/>
            <w:vAlign w:val="center"/>
          </w:tcPr>
          <w:p>
            <w:r/>
            <w:r>
              <w:t>Bounded review/refinement of response quality, not domain authority</w:t>
            </w:r>
          </w:p>
        </w:tc>
      </w:tr>
      <w:tr>
        <w:tc>
          <w:tcPr>
            <w:tcW w:type="dxa" w:w="5040"/>
            <w:vAlign w:val="center"/>
          </w:tcPr>
          <w:p>
            <w:r/>
            <w:r>
              <w:t>EWMA</w:t>
            </w:r>
          </w:p>
        </w:tc>
        <w:tc>
          <w:tcPr>
            <w:tcW w:type="dxa" w:w="5040"/>
            <w:vAlign w:val="center"/>
          </w:tcPr>
          <w:p>
            <w:r/>
            <w:r>
              <w:t>Stateful drift detector that emphasizes recent measurements</w:t>
            </w:r>
          </w:p>
        </w:tc>
      </w:tr>
      <w:tr>
        <w:tc>
          <w:tcPr>
            <w:tcW w:type="dxa" w:w="5040"/>
            <w:vAlign w:val="center"/>
          </w:tcPr>
          <w:p>
            <w:r/>
            <w:r>
              <w:t>Hotelling T-squared</w:t>
            </w:r>
          </w:p>
        </w:tc>
        <w:tc>
          <w:tcPr>
            <w:tcW w:type="dxa" w:w="5040"/>
            <w:vAlign w:val="center"/>
          </w:tcPr>
          <w:p>
            <w:r/>
            <w:r>
              <w:t>Multivariate anomaly method combining several normalized signals</w:t>
            </w:r>
          </w:p>
        </w:tc>
      </w:tr>
      <w:tr>
        <w:tc>
          <w:tcPr>
            <w:tcW w:type="dxa" w:w="5040"/>
            <w:vAlign w:val="center"/>
          </w:tcPr>
          <w:p>
            <w:r/>
            <w:r>
              <w:t>LOTO</w:t>
            </w:r>
          </w:p>
        </w:tc>
        <w:tc>
          <w:tcPr>
            <w:tcW w:type="dxa" w:w="5040"/>
            <w:vAlign w:val="center"/>
          </w:tcPr>
          <w:p>
            <w:r/>
            <w:r>
              <w:t>Lockout/tagout safety control</w:t>
            </w:r>
          </w:p>
        </w:tc>
      </w:tr>
      <w:tr>
        <w:tc>
          <w:tcPr>
            <w:tcW w:type="dxa" w:w="5040"/>
            <w:vAlign w:val="center"/>
          </w:tcPr>
          <w:p>
            <w:r/>
            <w:r>
              <w:t>OEE</w:t>
            </w:r>
          </w:p>
        </w:tc>
        <w:tc>
          <w:tcPr>
            <w:tcW w:type="dxa" w:w="5040"/>
            <w:vAlign w:val="center"/>
          </w:tcPr>
          <w:p>
            <w:r/>
            <w:r>
              <w:t>Overall equipment effectiveness</w:t>
            </w:r>
          </w:p>
        </w:tc>
      </w:tr>
      <w:tr>
        <w:tc>
          <w:tcPr>
            <w:tcW w:type="dxa" w:w="5040"/>
            <w:vAlign w:val="center"/>
          </w:tcPr>
          <w:p>
            <w:r/>
            <w:r>
              <w:t>Persona</w:t>
            </w:r>
          </w:p>
        </w:tc>
        <w:tc>
          <w:tcPr>
            <w:tcW w:type="dxa" w:w="5040"/>
            <w:vAlign w:val="center"/>
          </w:tcPr>
          <w:p>
            <w:r/>
            <w:r>
              <w:t>Approved role-specific presentation and action context</w:t>
            </w:r>
          </w:p>
        </w:tc>
      </w:tr>
    </w:tbl>
    <w:p>
      <w:pPr>
        <w:spacing w:after="40"/>
      </w:pPr>
    </w:p>
    <w:p>
      <w:pPr>
        <w:pStyle w:val="Heading2"/>
      </w:pPr>
      <w:r>
        <w:t>22. Final decision boundary</w:t>
      </w:r>
    </w:p>
    <w:p>
      <w:r>
        <w:t>DRO is currently suitable for deterministic demonstrations, backend/frontend integration, policy discussion, structured testing and a controlled shadow pilot. It is not yet the system of record for plant maintenance and must not be used as an autonomous approval authority. Production use requires governed live data, real enterprise adapters, approved policy values, durable escalation, enterprise authorization and signed pilot acceptance.</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DRO | Current baseline 223a8ca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45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4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 Business Documentation</dc:title>
  <dc:subject>Downtime Response Orchestrator documentation</dc:subject>
  <dc:creator>DRO Project Team</dc:creator>
  <cp:keywords/>
  <dc:description>Generated from the version-controlled Markdown source.</dc:description>
  <cp:lastModifiedBy/>
  <cp:revision>1</cp:revision>
  <dcterms:created xsi:type="dcterms:W3CDTF">2013-12-23T23:15:00Z</dcterms:created>
  <dcterms:modified xsi:type="dcterms:W3CDTF">2013-12-23T23:15:00Z</dcterms:modified>
  <cp:category/>
</cp:coreProperties>
</file>