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133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45.png" ContentType="image/png"/>
  <Override PartName="/word/media/rId149.png" ContentType="image/png"/>
  <Override PartName="/word/media/rId95.png" ContentType="image/png"/>
  <Override PartName="/word/media/rId97.png" ContentType="image/png"/>
  <Override PartName="/word/media/rId89.png" ContentType="image/png"/>
  <Override PartName="/word/media/rId91.png" ContentType="image/png"/>
  <Override PartName="/word/media/rId127.png" ContentType="image/png"/>
  <Override PartName="/word/media/rId129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8.png" ContentType="image/png"/>
  <Override PartName="/word/media/rId110.png" ContentType="image/png"/>
  <Override PartName="/word/media/rId64.png" ContentType="image/png"/>
  <Override PartName="/word/media/rId66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38.png" ContentType="image/png"/>
  <Override PartName="/word/media/rId40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25.png" ContentType="image/png"/>
  <Override PartName="/word/media/rId27.png" ContentType="image/png"/>
  <Override PartName="/word/media/rId70.png" ContentType="image/png"/>
  <Override PartName="/word/media/rId72.png" ContentType="image/png"/>
  <Override PartName="/word/media/rId58.png" ContentType="image/png"/>
  <Override PartName="/word/media/rId60.png" ContentType="image/png"/>
  <Override PartName="/word/media/rId83.png" ContentType="image/png"/>
  <Override PartName="/word/media/rId85.png" ContentType="image/png"/>
  <Override PartName="/word/media/rId114.png" ContentType="image/png"/>
  <Override PartName="/word/media/rId116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Crunching</w:t>
      </w:r>
      <w:r>
        <w:t xml:space="preserve"> </w:t>
      </w:r>
      <w:r>
        <w:t xml:space="preserve">Report:</w:t>
      </w:r>
      <w:r>
        <w:t xml:space="preserve"> </w:t>
      </w:r>
      <w:r>
        <w:t xml:space="preserve">Coping_Strategies-</w:t>
      </w:r>
      <w:r>
        <w:t xml:space="preserve"> </w:t>
      </w:r>
      <w:r>
        <w:t xml:space="preserve">Draft</w:t>
      </w:r>
      <w:r>
        <w:t xml:space="preserve"> </w:t>
      </w:r>
      <w:r>
        <w:t xml:space="preserve">not</w:t>
      </w:r>
      <w:r>
        <w:t xml:space="preserve"> </w:t>
      </w:r>
      <w:r>
        <w:t xml:space="preserve">for</w:t>
      </w:r>
      <w:r>
        <w:t xml:space="preserve"> </w:t>
      </w:r>
      <w:r>
        <w:t xml:space="preserve">distribution.</w:t>
      </w:r>
    </w:p>
    <w:p>
      <w:pPr>
        <w:pStyle w:val="Author"/>
      </w:pPr>
      <w:r>
        <w:t xml:space="preserve">Generated</w:t>
      </w:r>
      <w:r>
        <w:t xml:space="preserve"> </w:t>
      </w:r>
      <w:r>
        <w:t xml:space="preserve">with</w:t>
      </w:r>
      <w:r>
        <w:t xml:space="preserve"> </w:t>
      </w:r>
      <w:hyperlink r:id="rId20">
        <w:r>
          <w:rPr>
            <w:rStyle w:val="Hyperlink"/>
          </w:rPr>
          <w:t xml:space="preserve">Koboloader</w:t>
        </w:r>
      </w:hyperlink>
    </w:p>
    <w:p>
      <w:pPr>
        <w:pStyle w:val="Date"/>
      </w:pPr>
      <w:r>
        <w:t xml:space="preserve">26</w:t>
      </w:r>
      <w:r>
        <w:t xml:space="preserve"> </w:t>
      </w:r>
      <w:r>
        <w:t xml:space="preserve">June</w:t>
      </w:r>
      <w:r>
        <w:t xml:space="preserve"> </w:t>
      </w:r>
      <w:r>
        <w:t xml:space="preserve">2019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introduction"/>
      <w:r>
        <w:t xml:space="preserve">Introduction</w:t>
      </w:r>
      <w:bookmarkEnd w:id="21"/>
    </w:p>
    <w:p>
      <w:pPr>
        <w:pStyle w:val="FirstParagraph"/>
      </w:pPr>
      <w:r>
        <w:t xml:space="preserve">This data crunching report allows to quickly explore the results of the survey that can be regenerated as needed.</w:t>
      </w:r>
      <w:r>
        <w:t xml:space="preserve"> </w:t>
      </w:r>
      <w:r>
        <w:t xml:space="preserve">You can:</w:t>
      </w:r>
    </w:p>
    <w:p>
      <w:pPr>
        <w:numPr>
          <w:numId w:val="1001"/>
          <w:ilvl w:val="0"/>
        </w:numPr>
      </w:pPr>
      <w:r>
        <w:t xml:space="preserve">adjust the configuration in the xlsform to break it into chapter;</w:t>
      </w:r>
    </w:p>
    <w:p>
      <w:pPr>
        <w:numPr>
          <w:numId w:val="1001"/>
          <w:ilvl w:val="0"/>
        </w:numPr>
      </w:pPr>
      <w:r>
        <w:t xml:space="preserve">configure disaggregation &amp; correlation for each questions;</w:t>
      </w:r>
    </w:p>
    <w:p>
      <w:pPr>
        <w:numPr>
          <w:numId w:val="1001"/>
          <w:ilvl w:val="0"/>
        </w:numPr>
      </w:pPr>
      <w:r>
        <w:t xml:space="preserve">revise the data cleansing based on the cleaning log;</w:t>
      </w:r>
    </w:p>
    <w:p>
      <w:pPr>
        <w:numPr>
          <w:numId w:val="1001"/>
          <w:ilvl w:val="0"/>
        </w:numPr>
      </w:pPr>
      <w:r>
        <w:t xml:space="preserve">add weight to each observation in order to account for a specific sampling plan;</w:t>
      </w:r>
    </w:p>
    <w:p>
      <w:pPr>
        <w:numPr>
          <w:numId w:val="1001"/>
          <w:ilvl w:val="0"/>
        </w:numPr>
      </w:pPr>
      <w:r>
        <w:t xml:space="preserve">append calculated indicators to your data frame.</w:t>
      </w:r>
    </w:p>
    <w:p>
      <w:pPr>
        <w:pStyle w:val="FirstParagraph"/>
      </w:pPr>
      <w:r>
        <w:t xml:space="preserve">The objective of this report is to allow to quickly identify potential patterns in your dataset.</w:t>
      </w:r>
      <w:r>
        <w:t xml:space="preserve"> </w:t>
      </w:r>
      <w:r>
        <w:t xml:space="preserve">A quick screening of this initial report should allow to select the most meaningful graphs.</w:t>
      </w:r>
      <w:r>
        <w:t xml:space="preserve"> </w:t>
      </w:r>
      <w:r>
        <w:t xml:space="preserve">A data digest from this initial report can be then reviewed through a</w:t>
      </w:r>
      <w:r>
        <w:t xml:space="preserve"> </w:t>
      </w:r>
      <w:r>
        <w:rPr>
          <w:b/>
        </w:rPr>
        <w:t xml:space="preserve">data analysis workshop</w:t>
      </w:r>
      <w:r>
        <w:t xml:space="preserve"> </w:t>
      </w:r>
      <w:r>
        <w:t xml:space="preserve">where subject matter experts can contribute with qualitative components.</w:t>
      </w:r>
      <w:r>
        <w:t xml:space="preserve"> </w:t>
      </w:r>
      <w:r>
        <w:t xml:space="preserve">When analyzing those representations in a collective setting, you may:</w:t>
      </w:r>
    </w:p>
    <w:p>
      <w:pPr>
        <w:numPr>
          <w:numId w:val="1002"/>
          <w:ilvl w:val="0"/>
        </w:numPr>
      </w:pPr>
      <w:r>
        <w:rPr>
          <w:b/>
        </w:rPr>
        <w:t xml:space="preserve">Reflect</w:t>
      </w:r>
      <w:r>
        <w:t xml:space="preserve">: question data quality and/or make suggestions to change questions;</w:t>
      </w:r>
    </w:p>
    <w:p>
      <w:pPr>
        <w:numPr>
          <w:numId w:val="1002"/>
          <w:ilvl w:val="0"/>
        </w:numPr>
      </w:pPr>
      <w:r>
        <w:rPr>
          <w:b/>
        </w:rPr>
        <w:t xml:space="preserve">Interpret</w:t>
      </w:r>
      <w:r>
        <w:t xml:space="preserve">: develop qualitative interpretations of data patterns;</w:t>
      </w:r>
    </w:p>
    <w:p>
      <w:pPr>
        <w:numPr>
          <w:numId w:val="1002"/>
          <w:ilvl w:val="0"/>
        </w:numPr>
      </w:pPr>
      <w:r>
        <w:rPr>
          <w:b/>
        </w:rPr>
        <w:t xml:space="preserve">Recommend</w:t>
      </w:r>
      <w:r>
        <w:t xml:space="preserve">: develop recommendation in terms of programmatic adjustment;</w:t>
      </w:r>
    </w:p>
    <w:p>
      <w:pPr>
        <w:numPr>
          <w:numId w:val="1002"/>
          <w:ilvl w:val="0"/>
        </w:numPr>
      </w:pPr>
      <w:r>
        <w:rPr>
          <w:b/>
        </w:rPr>
        <w:t xml:space="preserve">Classify</w:t>
      </w:r>
      <w:r>
        <w:t xml:space="preserve">: order the level of sensitivity for the information;</w:t>
      </w:r>
    </w:p>
    <w:p>
      <w:pPr>
        <w:pStyle w:val="Heading1"/>
      </w:pPr>
      <w:bookmarkStart w:id="22" w:name="compilation-of-questions-results"/>
      <w:r>
        <w:t xml:space="preserve">Compilation of questions results</w:t>
      </w:r>
      <w:bookmarkEnd w:id="22"/>
    </w:p>
    <w:p>
      <w:pPr>
        <w:pStyle w:val="Heading2"/>
      </w:pPr>
      <w:bookmarkStart w:id="23" w:name="sell-household-goods-radio-furniture-television-jewellery-etc"/>
      <w:r>
        <w:t xml:space="preserve">Sell household goods (radio, furniture, television, jewellery etc)</w:t>
      </w:r>
      <w:bookmarkEnd w:id="2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24" w:name="tabulation"/>
      <w:r>
        <w:t xml:space="preserve">Tabulation</w:t>
      </w:r>
      <w:bookmarkEnd w:id="24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ellingGood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cross-tabulations"/>
      <w:r>
        <w:t xml:space="preserve">Cross-tabulations</w:t>
      </w:r>
      <w:bookmarkEnd w:id="2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ellingGoods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significant-associations-chi-square-with-p-value-5"/>
      <w:r>
        <w:t xml:space="preserve">Significant Associations (chi-square with p value &lt; 5%)</w:t>
      </w:r>
      <w:bookmarkEnd w:id="28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29" w:name="sell-productive-assets-andor-means-of-transport-sewing-machine-wheelbarrow-b"/>
      <w:r>
        <w:t xml:space="preserve">Sell productive assets and/or means of transport (sewing machine, wheelbarrow, b</w:t>
      </w:r>
      <w:bookmarkEnd w:id="2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30" w:name="tabulation-1"/>
      <w:r>
        <w:t xml:space="preserve">Tabulation</w:t>
      </w:r>
      <w:bookmarkEnd w:id="30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ellingAssets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cross-tabulations-1"/>
      <w:r>
        <w:t xml:space="preserve">Cross-tabulations</w:t>
      </w:r>
      <w:bookmarkEnd w:id="3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ellingAssets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significant-associations-chi-square-with-p-value-5-1"/>
      <w:r>
        <w:t xml:space="preserve">Significant Associations (chi-square with p value &lt; 5%)</w:t>
      </w:r>
      <w:bookmarkEnd w:id="34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ellingAssets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6" w:name="reduce-food-expenditure"/>
      <w:r>
        <w:t xml:space="preserve">Reduce food expenditure</w:t>
      </w:r>
      <w:bookmarkEnd w:id="3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37" w:name="tabulation-2"/>
      <w:r>
        <w:t xml:space="preserve">Tabulation</w:t>
      </w:r>
      <w:bookmarkEnd w:id="37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Foo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9" w:name="cross-tabulations-2"/>
      <w:r>
        <w:t xml:space="preserve">Cross-tabulations</w:t>
      </w:r>
      <w:bookmarkEnd w:id="3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Food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significant-associations-chi-square-with-p-value-5-2"/>
      <w:r>
        <w:t xml:space="preserve">Significant Associations (chi-square with p value &lt; 5%)</w:t>
      </w:r>
      <w:bookmarkEnd w:id="41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42" w:name="reduce-non-food-expenses-on-health-including-medicines"/>
      <w:r>
        <w:t xml:space="preserve">Reduce non-food expenses on health (including medicines)</w:t>
      </w:r>
      <w:bookmarkEnd w:id="4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43" w:name="tabulation-3"/>
      <w:r>
        <w:t xml:space="preserve">Tabulation</w:t>
      </w:r>
      <w:bookmarkEnd w:id="43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Health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cross-tabulations-3"/>
      <w:r>
        <w:t xml:space="preserve">Cross-tabulations</w:t>
      </w:r>
      <w:bookmarkEnd w:id="4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Health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significant-associations-chi-square-with-p-value-5-3"/>
      <w:r>
        <w:t xml:space="preserve">Significant Associations (chi-square with p value &lt; 5%)</w:t>
      </w:r>
      <w:bookmarkEnd w:id="47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Health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reduce-non-food-expenses-on-education"/>
      <w:r>
        <w:t xml:space="preserve">Reduce non-food expenses on education</w:t>
      </w:r>
      <w:bookmarkEnd w:id="4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50" w:name="tabulation-4"/>
      <w:r>
        <w:t xml:space="preserve">Tabulation</w:t>
      </w:r>
      <w:bookmarkEnd w:id="50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Educ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2" w:name="cross-tabulations-4"/>
      <w:r>
        <w:t xml:space="preserve">Cross-tabulations</w:t>
      </w:r>
      <w:bookmarkEnd w:id="5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Edu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4" w:name="significant-associations-chi-square-with-p-value-5-4"/>
      <w:r>
        <w:t xml:space="preserve">Significant Associations (chi-square with p value &lt; 5%)</w:t>
      </w:r>
      <w:bookmarkEnd w:id="54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ReduceEduc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spend-some-or-all-of-the-household-savings"/>
      <w:r>
        <w:t xml:space="preserve">Spend some or all of the household savings</w:t>
      </w:r>
      <w:bookmarkEnd w:id="5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57" w:name="tabulation-5"/>
      <w:r>
        <w:t xml:space="preserve">Tabulation</w:t>
      </w:r>
      <w:bookmarkEnd w:id="57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pentSaving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cross-tabulations-5"/>
      <w:r>
        <w:t xml:space="preserve">Cross-tabulations</w:t>
      </w:r>
      <w:bookmarkEnd w:id="5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pentSaving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1" w:name="significant-associations-chi-square-with-p-value-5-5"/>
      <w:r>
        <w:t xml:space="preserve">Significant Associations (chi-square with p value &lt; 5%)</w:t>
      </w:r>
      <w:bookmarkEnd w:id="61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62" w:name="buy-food-on-credit-andor-borrowed-money-to-purchase-food"/>
      <w:r>
        <w:t xml:space="preserve">Buy food on credit and/or borrowed money to purchase food</w:t>
      </w:r>
      <w:bookmarkEnd w:id="6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63" w:name="tabulation-6"/>
      <w:r>
        <w:t xml:space="preserve">Tabulation</w:t>
      </w:r>
      <w:bookmarkEnd w:id="63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FoodCredi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5" w:name="cross-tabulations-6"/>
      <w:r>
        <w:t xml:space="preserve">Cross-tabulations</w:t>
      </w:r>
      <w:bookmarkEnd w:id="6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FoodCredi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7" w:name="significant-associations-chi-square-with-p-value-5-6"/>
      <w:r>
        <w:t xml:space="preserve">Significant Associations (chi-square with p value &lt; 5%)</w:t>
      </w:r>
      <w:bookmarkEnd w:id="67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68" w:name="sell-house-andor-land"/>
      <w:r>
        <w:t xml:space="preserve">Sell house and/or land</w:t>
      </w:r>
      <w:bookmarkEnd w:id="6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69" w:name="tabulation-7"/>
      <w:r>
        <w:t xml:space="preserve">Tabulation</w:t>
      </w:r>
      <w:bookmarkEnd w:id="69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oldHouseLan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1" w:name="cross-tabulations-7"/>
      <w:r>
        <w:t xml:space="preserve">Cross-tabulations</w:t>
      </w:r>
      <w:bookmarkEnd w:id="7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SoldHouseLand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significant-associations-chi-square-with-p-value-5-7"/>
      <w:r>
        <w:t xml:space="preserve">Significant Associations (chi-square with p value &lt; 5%)</w:t>
      </w:r>
      <w:bookmarkEnd w:id="73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74" w:name="move-to-a-cheaper-rental-placelive-on-the-street"/>
      <w:r>
        <w:t xml:space="preserve">Move to a cheaper rental place/live on the street</w:t>
      </w:r>
      <w:bookmarkEnd w:id="74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75" w:name="tabulation-8"/>
      <w:r>
        <w:t xml:space="preserve">Tabulation</w:t>
      </w:r>
      <w:bookmarkEnd w:id="75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MovedAccom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7" w:name="cross-tabulations-8"/>
      <w:r>
        <w:t xml:space="preserve">Cross-tabulations</w:t>
      </w:r>
      <w:bookmarkEnd w:id="77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MovedAccom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9" w:name="significant-associations-chi-square-with-p-value-5-8"/>
      <w:r>
        <w:t xml:space="preserve">Significant Associations (chi-square with p value &lt; 5%)</w:t>
      </w:r>
      <w:bookmarkEnd w:id="79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MovedAccom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withdraw-children-from-school"/>
      <w:r>
        <w:t xml:space="preserve">Withdraw children from school</w:t>
      </w:r>
      <w:bookmarkEnd w:id="8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82" w:name="tabulation-9"/>
      <w:r>
        <w:t xml:space="preserve">Tabulation</w:t>
      </w:r>
      <w:bookmarkEnd w:id="82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WithdrawSchool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4" w:name="cross-tabulations-9"/>
      <w:r>
        <w:t xml:space="preserve">Cross-tabulations</w:t>
      </w:r>
      <w:bookmarkEnd w:id="8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WithdrawSchool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6" w:name="significant-associations-chi-square-with-p-value-5-9"/>
      <w:r>
        <w:t xml:space="preserve">Significant Associations (chi-square with p value &lt; 5%)</w:t>
      </w:r>
      <w:bookmarkEnd w:id="86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87" w:name="involve-school-children-6--15-years-old-in-income-generation"/>
      <w:r>
        <w:t xml:space="preserve">Involve school children (6 -15 years old) in income generation</w:t>
      </w:r>
      <w:bookmarkEnd w:id="8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88" w:name="tabulation-10"/>
      <w:r>
        <w:t xml:space="preserve">Tabulation</w:t>
      </w:r>
      <w:bookmarkEnd w:id="88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ChildLabour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0" w:name="cross-tabulations-10"/>
      <w:r>
        <w:t xml:space="preserve">Cross-tabulations</w:t>
      </w:r>
      <w:bookmarkEnd w:id="90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ChildLabour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2" w:name="significant-associations-chi-square-with-p-value-5-10"/>
      <w:r>
        <w:t xml:space="preserve">Significant Associations (chi-square with p value &lt; 5%)</w:t>
      </w:r>
      <w:bookmarkEnd w:id="92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93" w:name="ask-for-money-from-strangers-begging"/>
      <w:r>
        <w:t xml:space="preserve">Ask for money from strangers (begging)</w:t>
      </w:r>
      <w:bookmarkEnd w:id="93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94" w:name="tabulation-11"/>
      <w:r>
        <w:t xml:space="preserve">Tabulation</w:t>
      </w:r>
      <w:bookmarkEnd w:id="94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Begging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6" w:name="cross-tabulations-11"/>
      <w:r>
        <w:t xml:space="preserve">Cross-tabulations</w:t>
      </w:r>
      <w:bookmarkEnd w:id="96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Begging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8" w:name="significant-associations-chi-square-with-p-value-5-11"/>
      <w:r>
        <w:t xml:space="preserve">Significant Associations (chi-square with p value &lt; 5%)</w:t>
      </w:r>
      <w:bookmarkEnd w:id="98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99" w:name="have-household-members-18-years-and-over-accept-high-risk-dangerous-or-exploit"/>
      <w:r>
        <w:t xml:space="preserve">Have household members 18 years and over accept high risk, dangerous, or exploit</w:t>
      </w:r>
      <w:bookmarkEnd w:id="99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00" w:name="tabulation-12"/>
      <w:r>
        <w:t xml:space="preserve">Tabulation</w:t>
      </w:r>
      <w:bookmarkEnd w:id="100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ExploitativeWorkAdul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2" w:name="cross-tabulations-12"/>
      <w:r>
        <w:t xml:space="preserve">Cross-tabulations</w:t>
      </w:r>
      <w:bookmarkEnd w:id="102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ExploitativeWorkAdul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4" w:name="significant-associations-chi-square-with-p-value-5-12"/>
      <w:r>
        <w:t xml:space="preserve">Significant Associations (chi-square with p value &lt; 5%)</w:t>
      </w:r>
      <w:bookmarkEnd w:id="104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ExploitativeWorkAdult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6" w:name="have-household-members-under-the-age-of-18-accept-high-risk-dangerous-or-explo"/>
      <w:r>
        <w:t xml:space="preserve">Have household members under the age of 18 accept high risk, dangerous, or explo</w:t>
      </w:r>
      <w:bookmarkEnd w:id="106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07" w:name="tabulation-13"/>
      <w:r>
        <w:t xml:space="preserve">Tabulation</w:t>
      </w:r>
      <w:bookmarkEnd w:id="107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ExploitativeWorkChil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9" w:name="cross-tabulations-13"/>
      <w:r>
        <w:t xml:space="preserve">Cross-tabulations</w:t>
      </w:r>
      <w:bookmarkEnd w:id="109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ExploitativeWorkChild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1" w:name="significant-associations-chi-square-with-p-value-5-13"/>
      <w:r>
        <w:t xml:space="preserve">Significant Associations (chi-square with p value &lt; 5%)</w:t>
      </w:r>
      <w:bookmarkEnd w:id="111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12" w:name="send-an-adult-household-member-to-work-elsewhere-not-related-to-usual-seasonal"/>
      <w:r>
        <w:t xml:space="preserve">Send an adult household member to work elsewhere (not related to usual seasonal</w:t>
      </w:r>
      <w:bookmarkEnd w:id="112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13" w:name="tabulation-14"/>
      <w:r>
        <w:t xml:space="preserve">Tabulation</w:t>
      </w:r>
      <w:bookmarkEnd w:id="113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WorkElsewhereAdul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5" w:name="cross-tabulations-14"/>
      <w:r>
        <w:t xml:space="preserve">Cross-tabulations</w:t>
      </w:r>
      <w:bookmarkEnd w:id="115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WorkElsewhereAdul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17" w:name="significant-associations-chi-square-with-p-value-5-14"/>
      <w:r>
        <w:t xml:space="preserve">Significant Associations (chi-square with p value &lt; 5%)</w:t>
      </w:r>
      <w:bookmarkEnd w:id="117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18" w:name="send-a-child-household-member-to-work-elsewhere-not-related-to-usual-seasonal-m"/>
      <w:r>
        <w:t xml:space="preserve">Send a child household member to work elsewhere (not related to usual seasonal m</w:t>
      </w:r>
      <w:bookmarkEnd w:id="118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19" w:name="tabulation-15"/>
      <w:r>
        <w:t xml:space="preserve">Tabulation</w:t>
      </w:r>
      <w:bookmarkEnd w:id="119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WorkElsewhereChild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1" w:name="cross-tabulations-15"/>
      <w:r>
        <w:t xml:space="preserve">Cross-tabulations</w:t>
      </w:r>
      <w:bookmarkEnd w:id="121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WorkElsewhereChild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3" w:name="significant-associations-chi-square-with-p-value-5-15"/>
      <w:r>
        <w:t xml:space="preserve">Significant Associations (chi-square with p value &lt; 5%)</w:t>
      </w:r>
      <w:bookmarkEnd w:id="123"/>
    </w:p>
    <w:p>
      <w:pPr>
        <w:pStyle w:val="FirstParagraph"/>
      </w:pPr>
      <w:r>
        <w:drawing>
          <wp:inline>
            <wp:extent cx="6400800" cy="4800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WorkElsewhereChildccc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marry-children-under-18"/>
      <w:r>
        <w:t xml:space="preserve">Marry children under 18</w:t>
      </w:r>
      <w:bookmarkEnd w:id="125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26" w:name="tabulation-16"/>
      <w:r>
        <w:t xml:space="preserve">Tabulation</w:t>
      </w:r>
      <w:bookmarkEnd w:id="126"/>
    </w:p>
    <w:p>
      <w:pPr>
        <w:pStyle w:val="FirstParagraph"/>
      </w:pPr>
      <w:r>
        <w:drawing>
          <wp:inline>
            <wp:extent cx="6400800" cy="3333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ChildMarriage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8" w:name="cross-tabulations-16"/>
      <w:r>
        <w:t xml:space="preserve">Cross-tabulations</w:t>
      </w:r>
      <w:bookmarkEnd w:id="128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Welfare.FoodSecurity.Coping.LivelihoodCoping.ChildMarriage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0" w:name="significant-associations-chi-square-with-p-value-5-16"/>
      <w:r>
        <w:t xml:space="preserve">Significant Associations (chi-square with p value &lt; 5%)</w:t>
      </w:r>
      <w:bookmarkEnd w:id="130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31" w:name="what-do-you-consider-to-be-your-communitys-most-important-need"/>
      <w:r>
        <w:t xml:space="preserve">What do you consider to be your community’s MOST important need?</w:t>
      </w:r>
      <w:bookmarkEnd w:id="13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32" w:name="tabulation-17"/>
      <w:r>
        <w:t xml:space="preserve">Tabulation</w:t>
      </w:r>
      <w:bookmarkEnd w:id="132"/>
    </w:p>
    <w:p>
      <w:pPr>
        <w:pStyle w:val="FirstParagraph"/>
      </w:pPr>
      <w:r>
        <w:drawing>
          <wp:inline>
            <wp:extent cx="6400800" cy="11334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Assistance.PriorityNeeds.PriorityNeedsComm1s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3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4" w:name="cross-tabulations-17"/>
      <w:r>
        <w:t xml:space="preserve">Cross-tabulations</w:t>
      </w:r>
      <w:bookmarkEnd w:id="13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Assistance.PriorityNeeds.PriorityNeedsComm1s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36" w:name="significant-associations-chi-square-with-p-value-5-17"/>
      <w:r>
        <w:t xml:space="preserve">Significant Associations (chi-square with p value &lt; 5%)</w:t>
      </w:r>
      <w:bookmarkEnd w:id="136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37" w:name="what-are-two-or-three-other-needs-you-consider-your-community-has"/>
      <w:r>
        <w:t xml:space="preserve">What are two or three other needs you consider your community has?</w:t>
      </w:r>
      <w:bookmarkEnd w:id="13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Multiple choice question</w:t>
      </w:r>
    </w:p>
    <w:p>
      <w:pPr>
        <w:pStyle w:val="Heading3"/>
      </w:pPr>
      <w:bookmarkStart w:id="138" w:name="tabulation-18"/>
      <w:r>
        <w:t xml:space="preserve">Tabulation</w:t>
      </w:r>
      <w:bookmarkEnd w:id="138"/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Assistance.PriorityNeeds.PriorityNeedsCommOth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0" w:name="analysis-of-relationship"/>
      <w:r>
        <w:t xml:space="preserve">Analysis of relationship</w:t>
      </w:r>
      <w:bookmarkEnd w:id="140"/>
    </w:p>
    <w:p>
      <w:pPr>
        <w:pStyle w:val="Heading2"/>
      </w:pPr>
      <w:bookmarkStart w:id="141" w:name="what-do-you-consider-to-be-your-households-most-important-need"/>
      <w:r>
        <w:t xml:space="preserve">What do you consider to be your household’s MOST important need?</w:t>
      </w:r>
      <w:bookmarkEnd w:id="141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Single choice question</w:t>
      </w:r>
    </w:p>
    <w:p>
      <w:pPr>
        <w:pStyle w:val="Heading3"/>
      </w:pPr>
      <w:bookmarkStart w:id="142" w:name="tabulation-19"/>
      <w:r>
        <w:t xml:space="preserve">Tabulation</w:t>
      </w:r>
      <w:bookmarkEnd w:id="142"/>
    </w:p>
    <w:p>
      <w:pPr>
        <w:pStyle w:val="FirstParagraph"/>
      </w:pPr>
      <w:r>
        <w:drawing>
          <wp:inline>
            <wp:extent cx="6400800" cy="113347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Assistance.PriorityNeeds.PriorityNeedsFirst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33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4" w:name="cross-tabulations-18"/>
      <w:r>
        <w:t xml:space="preserve">Cross-tabulations</w:t>
      </w:r>
      <w:bookmarkEnd w:id="144"/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Assistance.PriorityNeeds.PriorityNeedsFirst1.r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46" w:name="significant-associations-chi-square-with-p-value-5-18"/>
      <w:r>
        <w:t xml:space="preserve">Significant Associations (chi-square with p value &lt; 5%)</w:t>
      </w:r>
      <w:bookmarkEnd w:id="146"/>
    </w:p>
    <w:p>
      <w:pPr>
        <w:pStyle w:val="FirstParagraph"/>
      </w:pPr>
      <w:r>
        <w:t xml:space="preserve">No significant association found for this question…</w:t>
      </w:r>
    </w:p>
    <w:p>
      <w:pPr>
        <w:pStyle w:val="Heading2"/>
      </w:pPr>
      <w:bookmarkStart w:id="147" w:name="what-are-three-other-important-needs-you-household-has"/>
      <w:r>
        <w:t xml:space="preserve">What are three other important needs you household has?</w:t>
      </w:r>
      <w:bookmarkEnd w:id="147"/>
    </w:p>
    <w:p>
      <w:pPr>
        <w:pStyle w:val="FirstParagraph"/>
      </w:pPr>
      <w:r>
        <w:t xml:space="preserve">NA</w:t>
      </w:r>
    </w:p>
    <w:p>
      <w:pPr>
        <w:pStyle w:val="BodyText"/>
      </w:pPr>
      <w:r>
        <w:t xml:space="preserve">Multiple choice question</w:t>
      </w:r>
    </w:p>
    <w:p>
      <w:pPr>
        <w:pStyle w:val="Heading3"/>
      </w:pPr>
      <w:bookmarkStart w:id="148" w:name="tabulation-20"/>
      <w:r>
        <w:t xml:space="preserve">Tabulation</w:t>
      </w:r>
      <w:bookmarkEnd w:id="148"/>
    </w:p>
    <w:p>
      <w:pPr>
        <w:pStyle w:val="FirstParagraph"/>
      </w:pPr>
      <w:r>
        <w:drawing>
          <wp:inline>
            <wp:extent cx="6400800" cy="640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-Coping_Strategies-chapter_files/figure-docx/Assistance.PriorityNeeds.PriorityNeedsOth.ta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50" w:name="analysis-of-relationship-1"/>
      <w:r>
        <w:t xml:space="preserve">Analysis of relationship</w:t>
      </w:r>
      <w:bookmarkEnd w:id="150"/>
    </w:p>
    <w:p>
      <w:pPr>
        <w:pStyle w:val="Heading5"/>
      </w:pPr>
      <w:bookmarkStart w:id="151" w:name="page-break"/>
      <w:r>
        <w:t xml:space="preserve">Page Break</w:t>
      </w:r>
      <w:bookmarkEnd w:id="151"/>
    </w:p>
    <w:sectPr>
      <w:footerReference w:type="default" r:id="rId10"/>
      <w:headerReference w:type="first" r:id="rId9"/>
      <w:pgSz w:w="12240" w:h="15840"/>
      <w:pgMar w:top="1440" w:right="1080" w:bottom="1440" w:left="1080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2339431"/>
      <w:docPartObj>
        <w:docPartGallery w:val="Page Numbers (Bottom of Page)"/>
        <w:docPartUnique/>
      </w:docPartObj>
    </w:sdtPr>
    <w:sdtEndPr>
      <w:rPr>
        <w:rFonts w:asciiTheme="majorHAnsi" w:hAnsiTheme="majorHAnsi"/>
        <w:noProof/>
        <w:color w:val="4BA6DD"/>
        <w:szCs w:val="22"/>
      </w:rPr>
    </w:sdtEndPr>
    <w:sdtContent>
      <w:p>
        <w:pPr>
          <w:pStyle w:val="Footer"/>
          <w:jc w:val="right"/>
          <w:rPr>
            <w:rFonts w:asciiTheme="majorHAnsi" w:hAnsiTheme="majorHAnsi"/>
            <w:noProof/>
            <w:color w:val="4BA6DD"/>
            <w:szCs w:val="22"/>
          </w:rPr>
        </w:pP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112395</wp:posOffset>
                  </wp:positionV>
                  <wp:extent cx="6038850" cy="228600"/>
                  <wp:effectExtent l="9525" t="7620" r="9525" b="11430"/>
                  <wp:wrapNone/>
                  <wp:docPr id="3" name="Text Box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3885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>
                              <w:pPr>
                                <w:pStyle w:val="Footer"/>
                                <w:rPr>
                                  <w:color w:val="4BA6DD"/>
                                </w:rPr>
                              </w:pPr>
                              <w:r>
                                <w:rPr>
                                  <w:rFonts w:cs="Calibri"/>
                                  <w:color w:val="4BA6DD"/>
                                  <w:sz w:val="18"/>
                                  <w:szCs w:val="18"/>
                                </w:rPr>
                                <w:t>United Nations High Commissioner for Refugees (UNHCR) – www.unhcr.org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6" type="#_x0000_t202" style="position:absolute;left:0;text-align:left;margin-left:-.75pt;margin-top:8.85pt;width:475.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" strokecolor="white [3212]">
                  <v:textbox>
                    <w:txbxContent>
                      <w:p>
                        <w:pPr>
                          <w:pStyle w:val="Footer"/>
                          <w:rPr>
                            <w:color w:val="4BA6DD"/>
                          </w:rPr>
                        </w:pPr>
                        <w:r>
                          <w:rPr>
                            <w:rFonts w:cs="Calibri"/>
                            <w:color w:val="4BA6DD"/>
                            <w:sz w:val="18"/>
                            <w:szCs w:val="18"/>
                          </w:rPr>
                          <w:t>United Nations High Commissioner for Refugees (UNHCR) – www.unhcr.org</w:t>
                        </w:r>
                      </w:p>
                      <w:p/>
                    </w:txbxContent>
                  </v:textbox>
                </v:shape>
              </w:pict>
            </mc:Fallback>
          </mc:AlternateContent>
        </w:r>
        <w:r>
          <w:rPr>
            <w:rFonts w:asciiTheme="majorHAnsi" w:hAnsiTheme="majorHAnsi"/>
            <w:noProof/>
            <w:color w:val="4BA6DD"/>
            <w:szCs w:val="22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5080</wp:posOffset>
                  </wp:positionV>
                  <wp:extent cx="6305550" cy="635"/>
                  <wp:effectExtent l="9525" t="5080" r="9525" b="13335"/>
                  <wp:wrapNone/>
                  <wp:docPr id="1" name="AutoShap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30555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BA6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" o:spid="_x0000_s1026" type="#_x0000_t32" style="position:absolute;margin-left:.75pt;margin-top:.4pt;width:496.5pt;height: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" strokecolor="#4ba6dd"/>
              </w:pict>
            </mc:Fallback>
          </mc:AlternateContent>
        </w:r>
        <w:r>
          <w:rPr>
            <w:rFonts w:asciiTheme="majorHAnsi" w:hAnsiTheme="majorHAnsi"/>
            <w:color w:val="4BA6DD"/>
            <w:szCs w:val="22"/>
          </w:rPr>
          <w:fldChar w:fldCharType="begin"/>
        </w:r>
        <w:r>
          <w:rPr>
            <w:rFonts w:asciiTheme="majorHAnsi" w:hAnsiTheme="majorHAnsi"/>
            <w:color w:val="4BA6DD"/>
            <w:szCs w:val="22"/>
          </w:rPr>
          <w:instrText xml:space="preserve"> PAGE   \* MERGEFORMAT </w:instrText>
        </w:r>
        <w:r>
          <w:rPr>
            <w:rFonts w:asciiTheme="majorHAnsi" w:hAnsiTheme="majorHAnsi"/>
            <w:color w:val="4BA6DD"/>
            <w:szCs w:val="22"/>
          </w:rPr>
          <w:fldChar w:fldCharType="separate"/>
        </w:r>
        <w:r>
          <w:rPr>
            <w:rFonts w:asciiTheme="majorHAnsi" w:hAnsiTheme="majorHAnsi"/>
            <w:noProof/>
            <w:color w:val="4BA6DD"/>
            <w:szCs w:val="22"/>
          </w:rPr>
          <w:t>3</w:t>
        </w:r>
        <w:r>
          <w:rPr>
            <w:rFonts w:asciiTheme="majorHAnsi" w:hAnsiTheme="majorHAnsi"/>
            <w:noProof/>
            <w:color w:val="4BA6DD"/>
            <w:szCs w:val="22"/>
          </w:rPr>
          <w:fldChar w:fldCharType="end"/>
        </w:r>
      </w:p>
      <w:p>
        <w:pPr>
          <w:pStyle w:val="Footer"/>
          <w:rPr>
            <w:rFonts w:asciiTheme="majorHAnsi" w:hAnsiTheme="majorHAnsi"/>
            <w:color w:val="4BA6DD"/>
            <w:szCs w:val="22"/>
          </w:rPr>
        </w:pPr>
      </w:p>
    </w:sdtContent>
  </w:sdt>
  <w:p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-419100</wp:posOffset>
          </wp:positionV>
          <wp:extent cx="2152650" cy="657225"/>
          <wp:effectExtent l="0" t="0" r="0" b="0"/>
          <wp:wrapTopAndBottom/>
          <wp:docPr id="2" name="Picture 2" descr="http://data.unhcr.org/uploads/unhcr_logos/unhcr-logo-clean/1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data.unhcr.org/uploads/unhcr_logos/unhcr-logo-clean/1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26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679" behindDoc="0" locked="0" layoutInCell="1" allowOverlap="1">
              <wp:simplePos x="0" y="0"/>
              <wp:positionH relativeFrom="page">
                <wp:posOffset>-38100</wp:posOffset>
              </wp:positionH>
              <wp:positionV relativeFrom="page">
                <wp:posOffset>9525</wp:posOffset>
              </wp:positionV>
              <wp:extent cx="10289540" cy="80962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0289540" cy="809625"/>
                      </a:xfrm>
                      <a:prstGeom prst="rect">
                        <a:avLst/>
                      </a:prstGeom>
                      <a:solidFill>
                        <a:srgbClr val="0077C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2" o:spid="_x0000_s1026" style="position:absolute;margin-left:-3pt;margin-top:.75pt;width:810.2pt;height:63.75pt;z-index:2516556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" fillcolor="#0077c0" strok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1E33B8B"/>
    <w:multiLevelType w:val="multilevel"/>
    <w:tmpl w:val="A582DEB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87E617B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94E73CF"/>
    <w:multiLevelType w:val="hybridMultilevel"/>
    <w:tmpl w:val="4BC67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07279"/>
    <w:multiLevelType w:val="hybridMultilevel"/>
    <w:tmpl w:val="096CD4C0"/>
    <w:lvl w:ilvl="0" w:tplc="54CA1E10">
      <w:start w:val="1"/>
      <w:numFmt w:val="bullet"/>
      <w:pStyle w:val="Style3"/>
      <w:lvlText w:val=""/>
      <w:lvlJc w:val="left"/>
      <w:pPr>
        <w:ind w:left="720" w:hanging="360"/>
      </w:pPr>
      <w:rPr>
        <w:rFonts w:ascii="Wingdings" w:hAnsi="Wingdings" w:hint="default"/>
        <w:color w:val="4BA6DD"/>
        <w:sz w:val="3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AA2FE"/>
    <w:multiLevelType w:val="multilevel"/>
    <w:tmpl w:val="7954E6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21D2E0F"/>
    <w:multiLevelType w:val="hybridMultilevel"/>
    <w:tmpl w:val="D77C4CC2"/>
    <w:lvl w:ilvl="0" w:tplc="1E9EFFF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B2DFE"/>
    <w:multiLevelType w:val="hybridMultilevel"/>
    <w:tmpl w:val="49E40F0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Lato" w:hAnsi="Lato"/>
      <w:sz w:val="22"/>
    </w:rPr>
  </w:style>
  <w:style w:type="paragraph" w:styleId="Heading1">
    <w:name w:val="heading 1"/>
    <w:basedOn w:val="Normal"/>
    <w:next w:val="BodyText"/>
    <w:autoRedefine/>
    <w:uiPriority w:val="9"/>
    <w:qFormat/>
    <w:pPr>
      <w:keepNext/>
      <w:keepLines/>
      <w:numPr>
        <w:numId w:val="4"/>
      </w:numPr>
      <w:pBdr>
        <w:bottom w:val="single" w:sz="4" w:space="1" w:color="auto"/>
      </w:pBdr>
      <w:spacing w:before="480" w:after="0"/>
      <w:outlineLvl w:val="0"/>
    </w:pPr>
    <w:rPr>
      <w:rFonts w:eastAsiaTheme="majorEastAsia" w:cstheme="majorBidi"/>
      <w:b/>
      <w:bCs/>
      <w:caps/>
      <w:color w:val="0077C0"/>
      <w:sz w:val="40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BodyText"/>
    <w:autoRedefine/>
    <w:uiPriority w:val="9"/>
    <w:unhideWhenUsed/>
    <w:qFormat/>
    <w:pPr>
      <w:keepNext/>
      <w:keepLines/>
      <w:pBdr>
        <w:bottom w:val="single" w:sz="6" w:space="1" w:color="auto"/>
      </w:pBdr>
      <w:spacing w:before="200" w:after="0"/>
      <w:outlineLvl w:val="2"/>
    </w:pPr>
    <w:rPr>
      <w:rFonts w:asciiTheme="majorHAnsi" w:eastAsiaTheme="majorEastAsia" w:hAnsiTheme="majorHAnsi" w:cstheme="majorBidi"/>
      <w:bCs/>
      <w:color w:val="595959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autoRedefine/>
    <w:uiPriority w:val="9"/>
    <w:unhideWhenUsed/>
    <w:qFormat/>
    <w:pPr>
      <w:keepLines/>
      <w:pageBreakBefore/>
      <w:spacing w:after="12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pPr>
      <w:spacing w:before="180" w:after="180"/>
      <w:jc w:val="both"/>
    </w:pPr>
    <w:rPr>
      <w:color w:val="000000" w:themeColor="text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link w:val="CompactChar"/>
    <w:qFormat/>
    <w:pPr>
      <w:spacing w:before="36" w:after="36"/>
    </w:pPr>
  </w:style>
  <w:style w:type="paragraph" w:styleId="Title">
    <w:name w:val="Title"/>
    <w:basedOn w:val="Normal"/>
    <w:next w:val="BodyText"/>
    <w:autoRedefine/>
    <w:qFormat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 w:themeColor="text1"/>
      <w:sz w:val="48"/>
      <w:szCs w:val="48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autoRedefine/>
    <w:qFormat/>
    <w:pPr>
      <w:keepNext/>
      <w:keepLines/>
      <w:jc w:val="center"/>
    </w:pPr>
    <w:rPr>
      <w:rFonts w:ascii="Lato" w:hAnsi="Lato"/>
    </w:rPr>
  </w:style>
  <w:style w:type="paragraph" w:styleId="Date">
    <w:name w:val="Date"/>
    <w:next w:val="BodyText"/>
    <w:autoRedefine/>
    <w:qFormat/>
    <w:pPr>
      <w:keepNext/>
      <w:keepLines/>
      <w:jc w:val="center"/>
    </w:pPr>
    <w:rPr>
      <w:rFonts w:ascii="Lato" w:hAnsi="Lato"/>
      <w:sz w:val="22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  <w:rPr>
      <w:rFonts w:ascii="Calibri Light" w:hAnsi="Calibri Light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autoRedefine/>
    <w:uiPriority w:val="39"/>
    <w:unhideWhenUsed/>
    <w:qFormat/>
    <w:pPr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b w:val="0"/>
      <w:bCs w:val="0"/>
      <w:color w:val="404040"/>
      <w:sz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pPr>
      <w:spacing w:after="100"/>
    </w:pPr>
  </w:style>
  <w:style w:type="paragraph" w:styleId="Header">
    <w:name w:val="header"/>
    <w:basedOn w:val="Normal"/>
    <w:link w:val="HeaderChar"/>
    <w:unhideWhenUsed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2">
    <w:name w:val="toc 2"/>
    <w:basedOn w:val="Normal"/>
    <w:next w:val="Normal"/>
    <w:link w:val="TOC2Char"/>
    <w:autoRedefine/>
    <w:uiPriority w:val="39"/>
    <w:unhideWhenUsed/>
    <w:pPr>
      <w:spacing w:after="100"/>
      <w:ind w:left="240"/>
    </w:pPr>
  </w:style>
  <w:style w:type="paragraph" w:customStyle="1" w:styleId="Style1">
    <w:name w:val="Style1"/>
    <w:basedOn w:val="TOC1"/>
    <w:link w:val="Style1Char"/>
    <w:qFormat/>
    <w:pPr>
      <w:tabs>
        <w:tab w:val="left" w:pos="440"/>
        <w:tab w:val="right" w:leader="dot" w:pos="12950"/>
      </w:tabs>
    </w:pPr>
    <w:rPr>
      <w:noProof/>
    </w:rPr>
  </w:style>
  <w:style w:type="paragraph" w:customStyle="1" w:styleId="Style2">
    <w:name w:val="Style2"/>
    <w:basedOn w:val="TOC2"/>
    <w:link w:val="Style2Char"/>
    <w:autoRedefine/>
    <w:qFormat/>
    <w:pPr>
      <w:tabs>
        <w:tab w:val="right" w:leader="dot" w:pos="12950"/>
      </w:tabs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</w:style>
  <w:style w:type="character" w:customStyle="1" w:styleId="Style1Char">
    <w:name w:val="Style1 Char"/>
    <w:basedOn w:val="TOC1Char"/>
    <w:link w:val="Style1"/>
    <w:rPr>
      <w:rFonts w:ascii="Calibri" w:hAnsi="Calibri"/>
      <w:noProof/>
    </w:rPr>
  </w:style>
  <w:style w:type="paragraph" w:styleId="ListParagraph">
    <w:name w:val="List Paragraph"/>
    <w:basedOn w:val="Normal"/>
    <w:link w:val="ListParagraphChar"/>
    <w:pPr>
      <w:ind w:left="720"/>
      <w:contextualSpacing/>
    </w:pPr>
  </w:style>
  <w:style w:type="character" w:customStyle="1" w:styleId="TOC2Char">
    <w:name w:val="TOC 2 Char"/>
    <w:basedOn w:val="DefaultParagraphFont"/>
    <w:link w:val="TOC2"/>
    <w:uiPriority w:val="39"/>
  </w:style>
  <w:style w:type="character" w:customStyle="1" w:styleId="Style2Char">
    <w:name w:val="Style2 Char"/>
    <w:basedOn w:val="TOC2Char"/>
    <w:link w:val="Style2"/>
    <w:rPr>
      <w:rFonts w:ascii="Calibri" w:hAnsi="Calibri"/>
      <w:noProof/>
      <w:sz w:val="22"/>
    </w:rPr>
  </w:style>
  <w:style w:type="paragraph" w:customStyle="1" w:styleId="Style3">
    <w:name w:val="Style3"/>
    <w:basedOn w:val="ListParagraph"/>
    <w:link w:val="Style3Char"/>
    <w:qFormat/>
    <w:pPr>
      <w:numPr>
        <w:numId w:val="7"/>
      </w:numPr>
      <w:jc w:val="both"/>
    </w:pPr>
  </w:style>
  <w:style w:type="character" w:customStyle="1" w:styleId="ListParagraphChar">
    <w:name w:val="List Paragraph Char"/>
    <w:basedOn w:val="DefaultParagraphFont"/>
    <w:link w:val="ListParagraph"/>
    <w:rPr>
      <w:rFonts w:ascii="Calibri" w:hAnsi="Calibri"/>
      <w:sz w:val="22"/>
    </w:rPr>
  </w:style>
  <w:style w:type="character" w:customStyle="1" w:styleId="Style3Char">
    <w:name w:val="Style3 Char"/>
    <w:basedOn w:val="ListParagraphChar"/>
    <w:link w:val="Style3"/>
    <w:rPr>
      <w:rFonts w:ascii="Lato" w:hAnsi="Lato"/>
      <w:sz w:val="22"/>
    </w:rPr>
  </w:style>
  <w:style w:type="paragraph" w:customStyle="1" w:styleId="TableNormal0">
    <w:name w:val="TableNormal"/>
    <w:basedOn w:val="Compact"/>
    <w:link w:val="TableNormalChar"/>
    <w:qFormat/>
    <w:rPr>
      <w:color w:val="auto"/>
    </w:rPr>
  </w:style>
  <w:style w:type="character" w:customStyle="1" w:styleId="BodyTextChar">
    <w:name w:val="Body Text Char"/>
    <w:basedOn w:val="DefaultParagraphFont"/>
    <w:link w:val="BodyText"/>
    <w:rPr>
      <w:rFonts w:ascii="Lato" w:hAnsi="Lato"/>
      <w:color w:val="000000" w:themeColor="text1"/>
      <w:sz w:val="22"/>
    </w:rPr>
  </w:style>
  <w:style w:type="character" w:customStyle="1" w:styleId="CompactChar">
    <w:name w:val="Compact Char"/>
    <w:basedOn w:val="BodyTextChar"/>
    <w:link w:val="Compact"/>
    <w:rPr>
      <w:rFonts w:ascii="Lato" w:hAnsi="Lato"/>
      <w:color w:val="000000" w:themeColor="text1"/>
      <w:sz w:val="22"/>
    </w:rPr>
  </w:style>
  <w:style w:type="character" w:customStyle="1" w:styleId="TableNormalChar">
    <w:name w:val="TableNormal Char"/>
    <w:basedOn w:val="CompactChar"/>
    <w:link w:val="TableNormal0"/>
    <w:rPr>
      <w:rFonts w:ascii="Lato" w:hAnsi="Lato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4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hyperlink" Id="rId20" Target="https://unhcr.github.io/koboloadeR/doc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https://unhcr.github.io/koboloadeR/docs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94</Words>
  <Characters>476</Characters>
  <Application>Microsoft Office Word</Application>
  <DocSecurity>0</DocSecurity>
  <Lines>59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Initial Exploration of Assistance tracking in RAIS - Iraq-Jordan-Lebanon</vt:lpstr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Crunching Report: Coping_Strategies- Draft not for distribution.</dc:title>
  <dc:creator>Generated with Koboloader</dc:creator>
  <cp:keywords/>
  <dcterms:created xsi:type="dcterms:W3CDTF">2019-06-26T08:36:26Z</dcterms:created>
  <dcterms:modified xsi:type="dcterms:W3CDTF">2019-06-26T08:36:26Z</dcterms:modified>
</cp:coreProperties>
</file>