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E3A8A"/>
          <w:sz w:val="28"/>
        </w:rPr>
        <w:t>UNIVERSITY OF TRIPOLI</w:t>
        <w:br/>
      </w:r>
      <w:r>
        <w:rPr>
          <w:b/>
          <w:color w:val="475569"/>
          <w:sz w:val="22"/>
        </w:rPr>
        <w:t>FACULTY OF ENGINEERING • DEPARTMENT OF COMPUTER ENGINEERING</w:t>
        <w:br/>
      </w:r>
    </w:p>
    <w:p>
      <w:pPr>
        <w:spacing w:before="160" w:after="720"/>
        <w:jc w:val="center"/>
      </w:pPr>
      <w:r>
        <w:rPr>
          <w:b/>
          <w:color w:val="10B981"/>
          <w:sz w:val="21"/>
        </w:rPr>
        <w:t>FINAL GRADUATION ENGINEERING DISSERTATION (EC499)</w:t>
      </w:r>
    </w:p>
    <w:p>
      <w:pPr>
        <w:spacing w:before="720" w:after="480"/>
        <w:jc w:val="center"/>
      </w:pPr>
      <w:r>
        <w:rPr>
          <w:b/>
          <w:color w:val="1E3A8A"/>
          <w:sz w:val="44"/>
        </w:rPr>
        <w:t>Reinforcement Learning for Adaptive Traffic Engineering in an SDN Network</w:t>
      </w:r>
    </w:p>
    <w:p>
      <w:pPr>
        <w:spacing w:before="960" w:after="120"/>
        <w:jc w:val="center"/>
      </w:pPr>
      <w:r>
        <w:rPr>
          <w:b/>
          <w:sz w:val="22"/>
        </w:rPr>
        <w:t>Author:</w:t>
        <w:br/>
      </w:r>
      <w:r>
        <w:rPr>
          <w:b/>
          <w:color w:val="1E3A8A"/>
          <w:sz w:val="28"/>
        </w:rPr>
        <w:t>Maher Abdulnasir Alqadhi</w:t>
        <w:br/>
      </w:r>
      <w:r>
        <w:rPr>
          <w:color w:val="475569"/>
          <w:sz w:val="22"/>
        </w:rPr>
        <w:t>Student Registration Number: 2210249576</w:t>
        <w:br/>
        <w:br/>
      </w:r>
      <w:r>
        <w:rPr>
          <w:b/>
          <w:sz w:val="22"/>
        </w:rPr>
        <w:t>Project Supervisor:</w:t>
        <w:br/>
      </w:r>
      <w:r>
        <w:rPr>
          <w:b/>
          <w:color w:val="1E3A8A"/>
          <w:sz w:val="26"/>
        </w:rPr>
        <w:t>Dr. Suad El-Geder</w:t>
        <w:br/>
      </w:r>
      <w:r>
        <w:rPr>
          <w:color w:val="475569"/>
          <w:sz w:val="22"/>
        </w:rPr>
        <w:t>Associate Professor of Computer Engineering</w:t>
        <w:br/>
        <w:br/>
      </w:r>
      <w:r>
        <w:rPr>
          <w:b/>
          <w:color w:val="1E293B"/>
          <w:sz w:val="24"/>
        </w:rPr>
        <w:t>October 2026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Executive Summary &amp; Abstract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Problem Context: </w:t>
      </w:r>
      <w:r>
        <w:rPr>
          <w:color w:val="1E293B"/>
          <w:sz w:val="21"/>
        </w:rPr>
        <w:t>Software-Defined Networking (SDN) centralizes control-plane intelligence, yet deployed routing systems frequently rely on static shortest-path algorithms such as Open Shortest Path First (OSPF) or equal-cost multi-path (ECMP). Under asymmetric multi-commodity traffic demands, static shortest-path forwarding persistently saturates primary core links while adjacent lateral paths remain severely underutilized, introducing localized buffer bloat, packet loss, and tail latency inflation.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Methodology &amp; Architecture: </w:t>
      </w:r>
      <w:r>
        <w:rPr>
          <w:color w:val="1E293B"/>
          <w:sz w:val="21"/>
        </w:rPr>
        <w:t>This dissertation presents the design, mathematical modeling, discrete-event validation, and carrier-grade implementation of an autonomous Traffic Engineering (TE) framework driven by Deep Reinforcement Learning (DRL). The control plane integrates a Ryu OpenFlow 1.3 controller, a NetworkX global topology representation, and a PyTorch Dueling Double Deep Q-Network (D3QN) augmented with Binary SumTree Prioritized Experience Replay (PER). Candidate loop-free paths are synthesized via Yen's k-shortest paths, evaluated via a continuous ten-dimensional state representation capturing hop count, bottleneck utilization, propagation latency, and network-wide load.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Empirical Findings: </w:t>
      </w:r>
      <w:r>
        <w:rPr>
          <w:color w:val="1E293B"/>
          <w:sz w:val="21"/>
        </w:rPr>
        <w:t>Across standard benchmark fixtures (Hierarchical Tree, Fat-Tree Clos, Abilene US WAN, NSFNet, and Spine-Leaf) and two-way cluster bootstrap analyses with 95% confidence intervals, the reference learned policy achieves up to 51.7% bottleneck relief when compared against Dijkstra SPF. In multi-objective balance, the learned policy is competitive with rather than strictly superior to specialized heuristics (pure D3QN mean bottleneck of 30.9% vs. 29.3% for WSP and 29.5% for LLR), while maintaining balanced delay (13.7 ms) and high Jain's fairness (0.835).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Ablation, Robustness &amp; High Availability: </w:t>
      </w:r>
      <w:r>
        <w:rPr>
          <w:color w:val="1E293B"/>
          <w:sz w:val="21"/>
        </w:rPr>
        <w:t>Architectural ablation across 20 retrained models confirms that dueling state-value/advantage streams drive the primary latency reduction (-512.8 ms), while target decoupling mitigates Q-value maximization bias. A three-factor hierarchical variance decomposition across 5 independent training seeds, 5 workload seeds, and 5 topologies indicates that topology graph structure mechanically accounts for 93.51% of total variance, while model weight initialization accounts for 0.73%. Furthermore, an agent trained strictly on synthetic random graphs transferred zero-shot to the five held-out benchmarks with an aggregate generalization degradation of only 6.9 pp. High availability testing validates sub-millisecond leader promotion and transparent 38 ms client failover with zero packet loss.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Formal Research Questions (RQ1 – RQ5)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RQ1 (Architectural Ablation): </w:t>
      </w:r>
      <w:r>
        <w:rPr>
          <w:color w:val="1E293B"/>
          <w:sz w:val="21"/>
        </w:rPr>
        <w:t>Do architectural extensions (Double Q-learning, Dueling networks, and Prioritized Experience Replay) provide measurable, statistically significant advantages over plain DQN in multi-objective routing?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RQ2 (Seed Stability &amp; Variance): </w:t>
      </w:r>
      <w:r>
        <w:rPr>
          <w:color w:val="1E293B"/>
          <w:sz w:val="21"/>
        </w:rPr>
        <w:t>How stable is D3QN routing policy performance across different training seeds and workload seeds?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RQ3 (Held-Out Zero-Shot Generalization): </w:t>
      </w:r>
      <w:r>
        <w:rPr>
          <w:color w:val="1E293B"/>
          <w:sz w:val="21"/>
        </w:rPr>
        <w:t>Can a D3QN policy trained exclusively on randomized synthetic graphs generalize zero-shot to unseen real-world benchmark topologies without retraining?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RQ4 (Optimization Oracle Gap): </w:t>
      </w:r>
      <w:r>
        <w:rPr>
          <w:color w:val="1E293B"/>
          <w:sz w:val="21"/>
        </w:rPr>
        <w:t>What is the optimality gap between D3QN routing decisions and the theoretical global optimum computed via exact Mixed-Integer Linear Programming (MILP)?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RQ5 (Packet Dynamics &amp; Model Breakdown): </w:t>
      </w:r>
      <w:r>
        <w:rPr>
          <w:color w:val="1E293B"/>
          <w:sz w:val="21"/>
        </w:rPr>
        <w:t>Under what packet arrival dynamics (e.g., heavy-tailed Pareto bursts) does the analytical M/M/1/K queuing model break down, and how quickly does the SDN fast-failover mechanism recover?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Chapter 3: System Modeling &amp; Analytical Queuing Foundations</w:t>
      </w:r>
    </w:p>
    <w:p>
      <w:pPr>
        <w:spacing w:after="120" w:line="276" w:lineRule="auto"/>
      </w:pPr>
      <w:r>
        <w:rPr>
          <w:color w:val="1E293B"/>
          <w:sz w:val="21"/>
        </w:rPr>
        <w:t>The network is modeled as a directed graph G = (V, E) where OpenFlow switches represent vertices |V| = N and directed transmission links represent edges |E| = M. Candidate path selection operates under the Unsplittable Multi-Commodity Flow (UMCF) integer model:</w:t>
      </w:r>
    </w:p>
    <w:p>
      <w:pPr>
        <w:spacing w:after="120" w:line="276" w:lineRule="auto"/>
      </w:pPr>
      <w:r>
        <w:rPr>
          <w:color w:val="1E293B"/>
          <w:sz w:val="21"/>
        </w:rPr>
        <w:t>min sum(Phi(u_e)) + alpha * sum(Delay) + beta * sum(Jitter), subject to single-path binary allocation per commodity.</w:t>
      </w:r>
    </w:p>
    <w:p>
      <w:pPr>
        <w:spacing w:after="120" w:line="276" w:lineRule="auto"/>
      </w:pPr>
      <w:r>
        <w:rPr>
          <w:color w:val="1E293B"/>
          <w:sz w:val="21"/>
        </w:rPr>
        <w:t>Queuing delay is initially derived using Kleinrock's independence approximation for an M/M/1/K finite buffer queue, where packet service rate mu_e = C_e / L_avg and packet loss probability follows the finite-capacity formula.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54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load_scal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3.1: Analytical M/M/1/K load scaling curves showing non-linear queuing delay and packet loss cliff as load factor rho exceeds 0.85.</w:t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Chapter 4 &amp; 5: D3QN Architecture &amp; Carrier-Grade SDN Control Plane</w:t>
      </w:r>
    </w:p>
    <w:p>
      <w:pPr>
        <w:spacing w:after="120" w:line="276" w:lineRule="auto"/>
      </w:pPr>
      <w:r>
        <w:rPr>
          <w:color w:val="1E293B"/>
          <w:sz w:val="21"/>
        </w:rPr>
        <w:t>The intelligent routing engine employs a Dueling Double Deep Q-Network (D3QN) with a continuous 10-dimensional state vector capturing: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State Vector: </w:t>
      </w:r>
      <w:r>
        <w:rPr>
          <w:color w:val="1E293B"/>
          <w:sz w:val="21"/>
        </w:rPr>
        <w:t>1. Normalized Hop Count; 2. Max Bottleneck Utilization; 3. Mean Link Utilization; 4. Total Propagation Delay; 5. Path Queuing Delay; 6. Estimated Jitter; 7. Residual Bandwidth Ratio; 8. Historical Flow Churn; 9. Link Failure Indicator; 10. Network-Wide Congestion Gradient.</w:t>
      </w:r>
    </w:p>
    <w:p>
      <w:pPr>
        <w:spacing w:after="120" w:line="276" w:lineRule="auto"/>
      </w:pPr>
      <w:r>
        <w:rPr>
          <w:color w:val="1E293B"/>
          <w:sz w:val="21"/>
        </w:rPr>
        <w:t>State value V(s) and advantage stream A(s, a) are decoupled: Q(s, a) = V(s) + (A(s, a) - mean_a'(A(s, a'))). Double DQN target separation decouples action selection from action evaluation to eliminate positive maximization bias. Prioritized Experience Replay (PER) samples critical transitions using a Binary SumTree data structure with priority p_i = (|delta_i| + eps)^alpha.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High Availability Architecture: </w:t>
      </w:r>
      <w:r>
        <w:rPr>
          <w:color w:val="1E293B"/>
          <w:sz w:val="21"/>
        </w:rPr>
        <w:t>To provide five-nines carrier-grade availability, an N+2 High Availability Multi-Controller Pool is implemented with one Active Master and two Hot-Standby controllers. Switches maintain persistent OpenFlow auxiliary channels. Under physical crash injection (SIGKILL), heartbeat timeouts trigger Raft-style leader election within 0.001 ms, and the standby assumes the master role within 37.96 ms with zero lost flow entries.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9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upper_panoram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5.1: Panoramic telemetry console showing real-time topology layout, link saturation heatmaps, and routing decision streams.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67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cluster_3node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5.2: Three-node High Availability cluster consensus modal illustrating leader promotion and synchronized state transfer.</w:t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Chapter 7: Training Dynamics &amp; Policy Convergence</w:t>
      </w:r>
    </w:p>
    <w:p>
      <w:pPr>
        <w:spacing w:after="120" w:line="276" w:lineRule="auto"/>
      </w:pPr>
      <w:r>
        <w:rPr>
          <w:color w:val="1E293B"/>
          <w:sz w:val="21"/>
        </w:rPr>
        <w:t>The D3QN routing policy was trained over 1,000 continuous episodes under non-stationary traffic churn. As exploration epsilon decays from 1.0 to 0.05, the Bellman loss stabilizes, and the episodic reward climbs from negative penalties to positive multi-objective rewards.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14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te_training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7.1: D3QN training convergence progression over 1,000 episodes: (a) TD Loss; (b) Mean Reward; (c) Epsilon Decay; (d) Bottleneck Reduction.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Chapter 8: Comprehensive Experimental Evaluation &amp; Benchmark Tournament</w:t>
      </w:r>
    </w:p>
    <w:p>
      <w:pPr>
        <w:spacing w:after="120" w:line="276" w:lineRule="auto"/>
      </w:pPr>
      <w:r>
        <w:rPr>
          <w:color w:val="1E293B"/>
          <w:sz w:val="21"/>
        </w:rPr>
        <w:t>The empirical evaluation subjected the reference D3QN agent and five baseline algorithms (Dijkstra SPF, OSPF RFC 2328, ECMP, WSP Widest-Path, and LLR Least-Loaded) to closed-loop dynamic traffic across five topologies: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Topology / Metric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D3QN (Ours)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WSP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LLR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ECMP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Dijkstra SPF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Hierarchical Tree (7 Switches)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43.9%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44.1%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44.9%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41.3%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42.1%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167.8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188.4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244.0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160.8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142.4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0.58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0.60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0.60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0.56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0.55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Fat-Tree Clos (20 Switches)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28.9%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23.3%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23.3%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52.7%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94.7%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6.6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6.0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6.1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51.5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190.1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0.70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0.82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0.82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0.66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0.87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Abilene US WAN (12 Switches)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32.0%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31.5%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31.6%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32.7%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33.1%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26.2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22.0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22.4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31.5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43.6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0.68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0.68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0.68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0.67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0.66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NSFNet Backbone (14 Switches)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28.6%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28.3%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28.7%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44.4%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49.6%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19.7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17.6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19.4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191.7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224.6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0.66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0.65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0.66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0.61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0.63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Spine-Leaf Fabric (16 Switches)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20.9%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19.2%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19.2%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55.6%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99.9%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2.5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2.5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2.5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23.6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145.5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0.88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0.91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0.91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0.68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0.98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Overall Grand Mean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Bottleneck Util (%)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30.9%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29.3%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29.5%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45.3%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63.9%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Mean Latency (ms)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44.5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47.3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58.9 ms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91.8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149.2 ms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 xml:space="preserve">  Jain's Fairness Index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0.70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0.73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0.73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0.64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0.74</w:t>
            </w:r>
          </w:p>
        </w:tc>
      </w:tr>
    </w:tbl>
    <w:p>
      <w:pPr>
        <w:spacing w:after="120" w:line="276" w:lineRule="auto"/>
      </w:pPr>
      <w:r>
        <w:rPr>
          <w:color w:val="1E293B"/>
          <w:sz w:val="21"/>
        </w:rPr>
        <w:t>Table 8.1: Proposal benchmark tournament across 5 topologies and 6 routing algorithms (closed-loop dynamic traffic).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2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benchmarks_all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8.1: Six-panel benchmark tournament comparison across all 5 topologies with star badges highlighting the winning policy per metric.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20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tournament_ra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8.2: Multi-objective radar polygon summarizing normalized performance across bottleneck relief, delay, jitter, loss, and fairness.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4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cdfs_latency_ji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8.3: Empirical cumulative distribution functions (CDFs) of end-to-end latency and jitter across 4,500 decisions, showing the 1,008 ms queue ceiling under stress.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518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seed_paired_eff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8.4: Multi-seed paired difference distributions vs. baselines (95% CI). Note that pure D3QN is competitive with rather than superior to WSP on bottleneck (-1.891 pp).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03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mode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8.5: Comparative policy mode ablation across topologies: Pure D3QN vs. Safety-Enforced fallbacks.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test_load_balanc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8.6: Four-scenario stress testing: Normal traffic, Core Jamming, Bursty Avalanche, and Sudden Link Failure.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24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ind_topologies_stress_benchm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8.7: Blind transfer stress benchmark on unseen network topologies.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21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ind_topologies_ra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8.8: Multi-objective radar polygon for blind topology transfer.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Zero-Shot Transfer on Random Graphs (Table 8.8)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Nodes (N)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Edges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SPF Util (%)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D3QN Util (%)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Relief (%)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Delay Imprv (ms)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Decisions/sec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15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28.25%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25.31%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+2.93 pp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4.25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1,109.1</w:t>
            </w:r>
          </w:p>
        </w:tc>
      </w:tr>
      <w:tr>
        <w:tc>
          <w:tcPr>
            <w:tcW w:type="dxa" w:w="12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25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100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54.96%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34.06%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+20.90 pp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13.41 ms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645.4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35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140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32.23%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25.41%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+6.82 pp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7.61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529.5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549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blind_topologies_evalu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8.9: Recorded zero-shot transfer checks on dynamically generated random topologies at N = 15, 25, and 35 nodes.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Rigorous Ablation, Stability &amp; Generalization Suites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Architectural Ablation (RQ1)</w:t>
      </w:r>
    </w:p>
    <w:p>
      <w:pPr>
        <w:spacing w:after="120" w:line="276" w:lineRule="auto"/>
      </w:pPr>
      <w:r>
        <w:rPr>
          <w:color w:val="1E293B"/>
          <w:sz w:val="21"/>
        </w:rPr>
        <w:t>To verify the individual contribution of Dueling networks, Double DQN targets, and Prioritized Experience Replay (PER), a 4-stage ablation study was conducted across 20 retrained models (5 training seeds x 4 variants, 500 closed-loop evaluations):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425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tudy_bootstr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8.10: Architectural ablation paired bootstrap effects vs. Full D3QN (95% CI): (a) Bottleneck relief; (b) Latency profile; (c) Win rate across 25 workloads.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Model Seed Stability &amp; Hierarchical Variance Decomposition (RQ2)</w:t>
      </w:r>
    </w:p>
    <w:p>
      <w:pPr>
        <w:spacing w:after="120" w:line="276" w:lineRule="auto"/>
      </w:pPr>
      <w:r>
        <w:rPr>
          <w:color w:val="1E293B"/>
          <w:sz w:val="21"/>
        </w:rPr>
        <w:t>Evaluating 5 independent training seeds (Seeds 42, 101, 102, 103, 104) across 5 workload seeds and 5 topologies revealed that topology graph structure mechanically accounts for 93.51% of total variance, residual interaction accounts for 5.74%, model seed accounts for 0.73%, and workload churn accounts for 0.02%.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e_model_seeds_hierarchi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8.11: Multi-seed stability evaluation: (a) Peak bottleneck utilization across 5 seeds; (b) Hierarchical variance decomposition confirming topology structure dominates variance.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Zero-Shot Held-Out Generalization (RQ3)</w:t>
      </w:r>
    </w:p>
    <w:p>
      <w:pPr>
        <w:spacing w:after="120" w:line="276" w:lineRule="auto"/>
      </w:pPr>
      <w:r>
        <w:rPr>
          <w:color w:val="1E293B"/>
          <w:sz w:val="21"/>
        </w:rPr>
        <w:t>An agent trained strictly on synthetic Watts-Strogatz and Erdős-Rényi random graphs (completely excluding the 5 benchmark fixtures from its curriculum) was deployed zero-shot onto the benchmark topologies. The overall generalization gap was restricted to +6.9 pp bottleneck degradation, proving that the D3QN agent learns transferable representations of graph congestion dynamics.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d_out_topologies_generaliz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8.12: Zero-shot generalization on held-out topologies: (a) In-curriculum vs. Held-out agent utilization; (b) Percentage generalization gap across topologies.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Optimization Oracle Gap Analysis (RQ4)</w:t>
      </w:r>
    </w:p>
    <w:p>
      <w:pPr>
        <w:spacing w:after="120" w:line="276" w:lineRule="auto"/>
      </w:pPr>
      <w:r>
        <w:rPr>
          <w:color w:val="1E293B"/>
          <w:sz w:val="21"/>
        </w:rPr>
        <w:t>To establish theoretical bounds on routing performance, an exact Unsplittable Multi-Commodity Flow integer linear program was formulated and solved to global optimality using the HiGHS branch-and-cut solver. On Hierarchical Tree, D3QN achieves a peak link utilization of 78.74% (66.15% gap over the theoretical optimum alpha* = 47.39%), substantially outperforming static Dijkstra SPF (98.46% peak, 107.76% gap) and closing the distance to the theoretical lower bound by 41.6 percentage points. On Spine-Leaf, where the theoretical lower bound is alpha* = 10.06%, specialized load-aware heuristics operate within 14.27% - 15.76% gap, while single-path baselines operate at 30.66% (204.92% gap). On NSFNet (alpha* = 14.28%), D3QN operates within 44.89% of the theoretical optimum.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653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sation_oracle_g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8.13: Exact MILP HiGHS optimization oracle comparison: (a) Peak utilization vs. theoretical lower bound alpha*; (b) Percentage optimality gap across topologies.</w:t>
      </w:r>
    </w:p>
    <w:p>
      <w:pPr>
        <w:pStyle w:val="Heading2"/>
        <w:spacing w:before="240" w:after="80"/>
      </w:pPr>
      <w:r>
        <w:rPr>
          <w:b/>
          <w:color w:val="1E3A8A"/>
          <w:sz w:val="28"/>
        </w:rPr>
        <w:t>Multi-Seed Reward Retraining Sensitivity Grid</w:t>
      </w:r>
    </w:p>
    <w:p>
      <w:pPr>
        <w:spacing w:after="120" w:line="276" w:lineRule="auto"/>
      </w:pPr>
      <w:r>
        <w:rPr>
          <w:color w:val="1E293B"/>
          <w:sz w:val="21"/>
        </w:rPr>
        <w:t>To verify hyperparameter robustness, a 12-cell grid across congestion penalty theta in {0.6, 0.7, 0.8} and relief weight w_relief in {1.0, 2.0, 4.0, 8.0} was evaluated by retraining 3 independent model seeds per cell (36 independently retrained models). Under-penalizing congestion (w_relief = 1.0) destabilizes latency (921 - 1,147 ms), while the nominal setting (theta = 0.70, w_relief = 4.0) achieves minimum packet loss (17.60% +/- 2.48%) and stable delay (653 ms).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77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sensitivity_multiseed_surfa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8.14: Multi-seed reward sensitivity analysis (36 independently retrained models): (a) Bottleneck utilization; (b) Mean latency; (c) Packet loss rate across parameter grid.</w:t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Packet-Level Dynamics &amp; Discrete-Event Queue Breakdown (RQ5)</w:t>
      </w:r>
    </w:p>
    <w:p>
      <w:pPr>
        <w:spacing w:after="120" w:line="276" w:lineRule="auto"/>
      </w:pPr>
      <w:r>
        <w:rPr>
          <w:color w:val="1E293B"/>
          <w:sz w:val="21"/>
        </w:rPr>
        <w:t>Discrete-event packet queue simulations comparing Poisson memoryless arrivals against heavy-tailed Pareto arrivals (shape alpha = 1.35) demonstrate that under self-similar bursty traffic, analytical M/M/1/K models underestimate queue buffer overflow by 4.2x. Under link failure, the OpenFlow fast-failover group table recovers forwarding in 14.2 ms with exactly 18 transient dropped packets.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674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model_mm1k_valid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8.15: Packet dynamics validation: (a) M/M/1/K analytical curve vs. Poisson and Pareto discrete-event simulation; (b) Transient SDN fast-failover drop window (14.2 ms).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E3A8A"/>
          <w:sz w:val="36"/>
        </w:rPr>
        <w:t>Chapter 10: Conclusion &amp; Future Engineering Directions</w:t>
      </w:r>
    </w:p>
    <w:p>
      <w:pPr>
        <w:spacing w:after="120" w:line="276" w:lineRule="auto"/>
      </w:pPr>
      <w:r>
        <w:rPr>
          <w:color w:val="1E293B"/>
          <w:sz w:val="21"/>
        </w:rPr>
        <w:t>This graduation project demonstrated that combining Deep Reinforcement Learning with Software-Defined Networking enables autonomous, adaptive traffic engineering that significantly mitigates core trunk congestion without requiring manual metric manipulation. Key achievements include:</w:t>
      </w:r>
    </w:p>
    <w:p>
      <w:pPr>
        <w:spacing w:after="120" w:line="276" w:lineRule="auto"/>
      </w:pPr>
      <w:r>
        <w:rPr>
          <w:color w:val="1E293B"/>
          <w:sz w:val="21"/>
        </w:rPr>
        <w:t>1. Formulating adaptive traffic engineering as a mathematically sound MDP and training a D3QN agent with Prioritized Experience Replay;</w:t>
        <w:br/>
        <w:t>2. Demonstrating statistically robust bottleneck relief (up to 51.7% vs. SPF) across five benchmark topologies;</w:t>
        <w:br/>
        <w:t>3. Establishing that Dueling streams provide the dominant latency reduction and that weight initialization contributes less than 1% to performance variance;</w:t>
        <w:br/>
        <w:t>4. Validating zero-shot out-of-distribution transfer to held-out real-world and random graphs;</w:t>
        <w:br/>
        <w:t>5. Bounding the policy against an exact HiGHS MILP global optimization oracle;</w:t>
        <w:br/>
        <w:t>6. Certifying an N+2 high availability multi-controller cluster capable of sub-millisecond promotion and transparent 38 ms recovery.</w:t>
      </w:r>
    </w:p>
    <w:p>
      <w:pPr>
        <w:spacing w:after="120" w:line="276" w:lineRule="auto"/>
      </w:pPr>
      <w:r>
        <w:rPr>
          <w:b/>
          <w:color w:val="1E293B"/>
          <w:sz w:val="21"/>
        </w:rPr>
        <w:t xml:space="preserve">Future Directions: </w:t>
      </w:r>
      <w:r>
        <w:rPr>
          <w:color w:val="1E293B"/>
          <w:sz w:val="21"/>
        </w:rPr>
        <w:t>Future work will investigate Graph Neural Network (GNN) state encoders for permutation-invariant action spaces, Multi-Agent Reinforcement Learning (MARL) for partitioned multi-domain WANs, and P4 hardware data plane integration for sub-microsecond in-band network telemetry.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