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jc w:val="center"/>
      </w:pPr>
      <w:r>
        <w:rPr>
          <w:rFonts w:ascii="Calibri" w:cs="Calibri" w:eastAsia="Calibri" w:hAnsi="Calibri"/>
          <w:b/>
          <w:bCs/>
          <w:sz w:val="26"/>
          <w:szCs w:val="26"/>
        </w:rPr>
        <w:t xml:space="preserve">Pre-Offer Letter</w:t>
      </w:r>
    </w:p>
    <w:p>
      <w:pPr>
        <w:spacing w:after="40"/>
      </w:pPr>
      <w:r>
        <w:rPr>
          <w:rFonts w:ascii="Calibri" w:cs="Calibri" w:eastAsia="Calibri" w:hAnsi="Calibri"/>
          <w:sz w:val="22"/>
          <w:szCs w:val="22"/>
        </w:rPr>
        <w:t xml:space="preserve">This is to formally acknowledge that </w:t>
      </w:r>
      <w:r>
        <w:rPr>
          <w:rFonts w:ascii="Calibri" w:cs="Calibri" w:eastAsia="Calibri" w:hAnsi="Calibri"/>
          <w:b/>
          <w:bCs/>
          <w:sz w:val="22"/>
          <w:szCs w:val="22"/>
        </w:rPr>
        <w:t xml:space="preserve">{{ salutation }} {{ candidate_name }}</w:t>
      </w:r>
      <w:r>
        <w:rPr>
          <w:rFonts w:ascii="Calibri" w:cs="Calibri" w:eastAsia="Calibri" w:hAnsi="Calibri"/>
          <w:sz w:val="22"/>
          <w:szCs w:val="22"/>
        </w:rPr>
        <w:t xml:space="preserve"> has been engaged with</w:t>
      </w:r>
    </w:p>
    <w:p>
      <w:pPr>
        <w:spacing w:after="40"/>
      </w:pPr>
      <w:r>
        <w:rPr>
          <w:rFonts w:ascii="Calibri" w:cs="Calibri" w:eastAsia="Calibri" w:hAnsi="Calibri"/>
          <w:b/>
          <w:bCs/>
          <w:sz w:val="22"/>
          <w:szCs w:val="22"/>
        </w:rPr>
        <w:t xml:space="preserve">Analytics Avenue LLP</w:t>
      </w:r>
      <w:r>
        <w:rPr>
          <w:rFonts w:ascii="Calibri" w:cs="Calibri" w:eastAsia="Calibri" w:hAnsi="Calibri"/>
          <w:sz w:val="22"/>
          <w:szCs w:val="22"/>
        </w:rPr>
        <w:t xml:space="preserve"> in the role of </w:t>
      </w:r>
      <w:r>
        <w:rPr>
          <w:rFonts w:ascii="Calibri" w:cs="Calibri" w:eastAsia="Calibri" w:hAnsi="Calibri"/>
          <w:b/>
          <w:bCs/>
          <w:sz w:val="22"/>
          <w:szCs w:val="22"/>
        </w:rPr>
        <w:t xml:space="preserve">{{ role }}</w:t>
      </w:r>
    </w:p>
    <w:p>
      <w:pPr>
        <w:spacing w:after="180"/>
      </w:pPr>
      <w:r>
        <w:rPr>
          <w:rFonts w:ascii="Calibri" w:cs="Calibri" w:eastAsia="Calibri" w:hAnsi="Calibri"/>
          <w:sz w:val="22"/>
          <w:szCs w:val="22"/>
        </w:rPr>
        <w:t xml:space="preserve">The actual engagement shall commence with a </w:t>
      </w:r>
      <w:r>
        <w:rPr>
          <w:rFonts w:ascii="Calibri" w:cs="Calibri" w:eastAsia="Calibri" w:hAnsi="Calibri"/>
          <w:b/>
          <w:bCs/>
          <w:sz w:val="22"/>
          <w:szCs w:val="22"/>
        </w:rPr>
        <w:t xml:space="preserve">probationary period ranging from two to four  months</w:t>
      </w:r>
      <w:r>
        <w:rPr>
          <w:rFonts w:ascii="Calibri" w:cs="Calibri" w:eastAsia="Calibri" w:hAnsi="Calibri"/>
          <w:sz w:val="22"/>
          <w:szCs w:val="22"/>
        </w:rPr>
        <w:t xml:space="preserve">, </w:t>
      </w:r>
      <w:r>
        <w:rPr>
          <w:rFonts w:ascii="Calibri" w:cs="Calibri" w:eastAsia="Calibri" w:hAnsi="Calibri"/>
          <w:b/>
          <w:bCs/>
          <w:sz w:val="22"/>
          <w:szCs w:val="22"/>
        </w:rPr>
        <w:t xml:space="preserve">effective from {{ joining_date }}, the date of joining.</w:t>
      </w:r>
    </w:p>
    <w:p>
      <w:pPr>
        <w:spacing w:before="120" w:after="80"/>
      </w:pPr>
      <w:r>
        <w:rPr>
          <w:rFonts w:ascii="Calibri" w:cs="Calibri" w:eastAsia="Calibri" w:hAnsi="Calibri"/>
          <w:b/>
          <w:bCs/>
          <w:sz w:val="22"/>
          <w:szCs w:val="22"/>
        </w:rPr>
        <w:t xml:space="preserve">Compensation During Probation</w:t>
      </w:r>
    </w:p>
    <w:p>
      <w:pPr>
        <w:spacing w:after="100"/>
      </w:pPr>
      <w:r>
        <w:rPr>
          <w:rFonts w:ascii="Calibri" w:cs="Calibri" w:eastAsia="Calibri" w:hAnsi="Calibri"/>
          <w:sz w:val="22"/>
          <w:szCs w:val="22"/>
        </w:rPr>
        <w:t xml:space="preserve">During the probation period, data analytics trainee will be entitled to the following compensation:</w:t>
      </w:r>
    </w:p>
    <w:p>
      <w:pPr>
        <w:pStyle w:val="ListParagraph"/>
        <w:numPr>
          <w:ilvl w:val="0"/>
          <w:numId w:val="2"/>
        </w:numPr>
        <w:spacing w:after="60"/>
      </w:pPr>
      <w:r>
        <w:rPr>
          <w:rFonts w:ascii="Calibri" w:cs="Calibri" w:eastAsia="Calibri" w:hAnsi="Calibri"/>
          <w:b/>
          <w:bCs/>
          <w:sz w:val="22"/>
          <w:szCs w:val="22"/>
        </w:rPr>
        <w:t xml:space="preserve">Fixed Stipend / Base Pay: {{ stipend }} per month</w:t>
      </w:r>
    </w:p>
    <w:p>
      <w:pPr>
        <w:pStyle w:val="ListParagraph"/>
        <w:numPr>
          <w:ilvl w:val="0"/>
          <w:numId w:val="2"/>
        </w:numPr>
        <w:spacing w:after="60"/>
      </w:pPr>
      <w:r>
        <w:rPr>
          <w:rFonts w:ascii="Calibri" w:cs="Calibri" w:eastAsia="Calibri" w:hAnsi="Calibri"/>
          <w:b/>
          <w:bCs/>
          <w:sz w:val="22"/>
          <w:szCs w:val="22"/>
        </w:rPr>
        <w:t xml:space="preserve">Performance-Based Incentive: </w:t>
      </w:r>
      <w:r>
        <w:rPr>
          <w:rFonts w:ascii="Calibri" w:cs="Calibri" w:eastAsia="Calibri" w:hAnsi="Calibri"/>
          <w:sz w:val="22"/>
          <w:szCs w:val="22"/>
        </w:rPr>
        <w:t xml:space="preserve">Up to </w:t>
      </w:r>
      <w:r>
        <w:rPr>
          <w:rFonts w:ascii="Calibri" w:cs="Calibri" w:eastAsia="Calibri" w:hAnsi="Calibri"/>
          <w:b/>
          <w:bCs/>
          <w:sz w:val="22"/>
          <w:szCs w:val="22"/>
        </w:rPr>
        <w:t xml:space="preserve">{{ incentive }} per month</w:t>
      </w:r>
      <w:r>
        <w:rPr>
          <w:rFonts w:ascii="Calibri" w:cs="Calibri" w:eastAsia="Calibri" w:hAnsi="Calibri"/>
          <w:sz w:val="22"/>
          <w:szCs w:val="22"/>
        </w:rPr>
        <w:t xml:space="preserve">, subject to the successful </w:t>
      </w:r>
      <w:r>
        <w:rPr>
          <w:rFonts w:ascii="Calibri" w:cs="Calibri" w:eastAsia="Calibri" w:hAnsi="Calibri"/>
          <w:b/>
          <w:bCs/>
          <w:sz w:val="22"/>
          <w:szCs w:val="22"/>
        </w:rPr>
        <w:t xml:space="preserve">achievement of assigned targets</w:t>
      </w:r>
      <w:r>
        <w:rPr>
          <w:rFonts w:ascii="Calibri" w:cs="Calibri" w:eastAsia="Calibri" w:hAnsi="Calibri"/>
          <w:sz w:val="22"/>
          <w:szCs w:val="22"/>
        </w:rPr>
        <w:t xml:space="preserve"> and </w:t>
      </w:r>
      <w:r>
        <w:rPr>
          <w:rFonts w:ascii="Calibri" w:cs="Calibri" w:eastAsia="Calibri" w:hAnsi="Calibri"/>
          <w:b/>
          <w:bCs/>
          <w:sz w:val="22"/>
          <w:szCs w:val="22"/>
        </w:rPr>
        <w:t xml:space="preserve">performance benchmarks</w:t>
      </w:r>
      <w:r>
        <w:rPr>
          <w:rFonts w:ascii="Calibri" w:cs="Calibri" w:eastAsia="Calibri" w:hAnsi="Calibri"/>
          <w:sz w:val="22"/>
          <w:szCs w:val="22"/>
        </w:rPr>
        <w:t xml:space="preserve"> as defined by the organization.</w:t>
      </w:r>
    </w:p>
    <w:p>
      <w:pPr>
        <w:pStyle w:val="ListParagraph"/>
        <w:numPr>
          <w:ilvl w:val="0"/>
          <w:numId w:val="2"/>
        </w:numPr>
        <w:spacing w:after="60"/>
      </w:pPr>
      <w:r>
        <w:rPr>
          <w:rFonts w:ascii="Calibri" w:cs="Calibri" w:eastAsia="Calibri" w:hAnsi="Calibri"/>
          <w:sz w:val="22"/>
          <w:szCs w:val="22"/>
        </w:rPr>
        <w:t xml:space="preserve">The performance incentive is variable in nature and will be evaluated based on internal performance review mechanisms.</w:t>
      </w:r>
    </w:p>
    <w:p>
      <w:pPr>
        <w:spacing w:after="120"/>
      </w:pPr>
    </w:p>
    <w:p>
      <w:pPr>
        <w:spacing w:before="100" w:after="80"/>
      </w:pPr>
      <w:r>
        <w:rPr>
          <w:rFonts w:ascii="Calibri" w:cs="Calibri" w:eastAsia="Calibri" w:hAnsi="Calibri"/>
          <w:b/>
          <w:bCs/>
          <w:sz w:val="22"/>
          <w:szCs w:val="22"/>
        </w:rPr>
        <w:t xml:space="preserve">Confirmation, Promotion &amp; Post-Confirmation Compensation</w:t>
      </w:r>
    </w:p>
    <w:p>
      <w:pPr>
        <w:spacing w:after="80"/>
      </w:pPr>
      <w:r>
        <w:rPr>
          <w:rFonts w:ascii="Calibri" w:cs="Calibri" w:eastAsia="Calibri" w:hAnsi="Calibri"/>
          <w:sz w:val="22"/>
          <w:szCs w:val="22"/>
        </w:rPr>
        <w:t xml:space="preserve">Upon </w:t>
      </w:r>
      <w:r>
        <w:rPr>
          <w:rFonts w:ascii="Calibri" w:cs="Calibri" w:eastAsia="Calibri" w:hAnsi="Calibri"/>
          <w:b/>
          <w:bCs/>
          <w:sz w:val="22"/>
          <w:szCs w:val="22"/>
        </w:rPr>
        <w:t xml:space="preserve">successful completion of the probation period</w:t>
      </w:r>
      <w:r>
        <w:rPr>
          <w:rFonts w:ascii="Calibri" w:cs="Calibri" w:eastAsia="Calibri" w:hAnsi="Calibri"/>
          <w:sz w:val="22"/>
          <w:szCs w:val="22"/>
        </w:rPr>
        <w:t xml:space="preserve"> and meeting the prescribed performance expectations, she will be considered for role confirmation with a annual compensation structure (CTC) will fall within the range of</w:t>
      </w:r>
    </w:p>
    <w:p>
      <w:pPr>
        <w:spacing w:after="100"/>
      </w:pPr>
      <w:r>
        <w:rPr>
          <w:rFonts w:ascii="Calibri" w:cs="Calibri" w:eastAsia="Calibri" w:hAnsi="Calibri"/>
          <w:b/>
          <w:bCs/>
          <w:sz w:val="22"/>
          <w:szCs w:val="22"/>
        </w:rPr>
        <w:t xml:space="preserve">₹4 LPA to ₹6 LPA</w:t>
      </w:r>
      <w:r>
        <w:rPr>
          <w:rFonts w:ascii="Calibri" w:cs="Calibri" w:eastAsia="Calibri" w:hAnsi="Calibri"/>
          <w:sz w:val="22"/>
          <w:szCs w:val="22"/>
        </w:rPr>
        <w:t xml:space="preserve">, comprising:</w:t>
      </w:r>
    </w:p>
    <w:p>
      <w:pPr>
        <w:pStyle w:val="ListParagraph"/>
        <w:numPr>
          <w:ilvl w:val="0"/>
          <w:numId w:val="2"/>
        </w:numPr>
        <w:spacing w:after="60"/>
      </w:pPr>
      <w:r>
        <w:rPr>
          <w:rFonts w:ascii="Calibri" w:cs="Calibri" w:eastAsia="Calibri" w:hAnsi="Calibri"/>
          <w:sz w:val="22"/>
          <w:szCs w:val="22"/>
        </w:rPr>
        <w:t xml:space="preserve">Base Pay</w:t>
      </w:r>
    </w:p>
    <w:p>
      <w:pPr>
        <w:pStyle w:val="ListParagraph"/>
        <w:numPr>
          <w:ilvl w:val="0"/>
          <w:numId w:val="2"/>
        </w:numPr>
        <w:spacing w:after="60"/>
      </w:pPr>
      <w:r>
        <w:rPr>
          <w:rFonts w:ascii="Calibri" w:cs="Calibri" w:eastAsia="Calibri" w:hAnsi="Calibri"/>
          <w:sz w:val="22"/>
          <w:szCs w:val="22"/>
        </w:rPr>
        <w:t xml:space="preserve">Variable / Performance-Based Pay</w:t>
      </w:r>
    </w:p>
    <w:p>
      <w:pPr>
        <w:pStyle w:val="ListParagraph"/>
        <w:numPr>
          <w:ilvl w:val="0"/>
          <w:numId w:val="2"/>
        </w:numPr>
        <w:spacing w:after="60"/>
      </w:pPr>
      <w:r>
        <w:rPr>
          <w:rFonts w:ascii="Calibri" w:cs="Calibri" w:eastAsia="Calibri" w:hAnsi="Calibri"/>
          <w:sz w:val="22"/>
          <w:szCs w:val="22"/>
        </w:rPr>
        <w:t xml:space="preserve">Applicable Statutory Benefits, including gratuity, as per prevailing laws and company policy</w:t>
      </w:r>
    </w:p>
    <w:p>
      <w:r>
        <w:br w:type="page"/>
      </w:r>
    </w:p>
    <w:p>
      <w:pPr>
        <w:spacing w:before="200" w:after="200"/>
        <w:jc w:val="center"/>
      </w:pPr>
      <w:r>
        <w:rPr>
          <w:rFonts w:ascii="Calibri" w:cs="Calibri" w:eastAsia="Calibri" w:hAnsi="Calibri"/>
          <w:b/>
          <w:bCs/>
          <w:sz w:val="24"/>
          <w:szCs w:val="24"/>
        </w:rPr>
        <w:t xml:space="preserve">Points to Be Noted</w:t>
      </w:r>
    </w:p>
    <w:p>
      <w:pPr>
        <w:spacing w:after="80"/>
        <w:ind w:left="360"/>
      </w:pPr>
      <w:r>
        <w:rPr>
          <w:rFonts w:ascii="Calibri" w:cs="Calibri" w:eastAsia="Calibri" w:hAnsi="Calibri"/>
          <w:sz w:val="22"/>
          <w:szCs w:val="22"/>
        </w:rPr>
        <w:t xml:space="preserve">1. </w:t>
      </w:r>
      <w:r>
        <w:rPr>
          <w:rFonts w:ascii="Calibri" w:cs="Calibri" w:eastAsia="Calibri" w:hAnsi="Calibri"/>
          <w:b/>
          <w:bCs/>
          <w:sz w:val="22"/>
          <w:szCs w:val="22"/>
        </w:rPr>
        <w:t xml:space="preserve">Promotion &amp; Salary Revision : </w:t>
      </w:r>
      <w:r>
        <w:rPr>
          <w:rFonts w:ascii="Calibri" w:cs="Calibri" w:eastAsia="Calibri" w:hAnsi="Calibri"/>
          <w:sz w:val="22"/>
          <w:szCs w:val="22"/>
        </w:rPr>
        <w:t xml:space="preserve">Employees who meet performance expectations and achieve assigned targets in business development and technical proof-of-concepts (POCs) will be eligible for promotion and a suitable salary hike, as per management discretion. The official salary revision happens during September - October and April - May. Upon successful completion of the Data Analytics Trainee role the employee will be promoted to the role of </w:t>
      </w:r>
    </w:p>
    <w:p>
      <w:pPr>
        <w:spacing w:after="100"/>
        <w:ind w:left="360"/>
      </w:pPr>
      <w:r>
        <w:rPr>
          <w:rFonts w:ascii="Calibri" w:cs="Calibri" w:eastAsia="Calibri" w:hAnsi="Calibri"/>
          <w:b/>
          <w:bCs/>
          <w:sz w:val="22"/>
          <w:szCs w:val="22"/>
        </w:rPr>
        <w:t xml:space="preserve">Business Analyst.</w:t>
      </w:r>
    </w:p>
    <w:p>
      <w:pPr>
        <w:spacing w:after="80"/>
        <w:ind w:left="360"/>
      </w:pPr>
      <w:r>
        <w:rPr>
          <w:rFonts w:ascii="Calibri" w:cs="Calibri" w:eastAsia="Calibri" w:hAnsi="Calibri"/>
          <w:sz w:val="22"/>
          <w:szCs w:val="22"/>
        </w:rPr>
        <w:t xml:space="preserve">2. </w:t>
      </w:r>
      <w:r>
        <w:rPr>
          <w:rFonts w:ascii="Calibri" w:cs="Calibri" w:eastAsia="Calibri" w:hAnsi="Calibri"/>
          <w:b/>
          <w:bCs/>
          <w:sz w:val="22"/>
          <w:szCs w:val="22"/>
        </w:rPr>
        <w:t xml:space="preserve">Training-Cum-Service Bond</w:t>
      </w:r>
      <w:r>
        <w:rPr>
          <w:rFonts w:ascii="Calibri" w:cs="Calibri" w:eastAsia="Calibri" w:hAnsi="Calibri"/>
          <w:sz w:val="22"/>
          <w:szCs w:val="22"/>
        </w:rPr>
        <w:t xml:space="preserve">: As per the terms of employment, the employee is required to execute a Training-cum-Service Bond committing to serve the company for 12 (twelve) months from the date of joining. If the employee voluntarily resigns or abandons employment before completing this period, they agree to reimburse a proportionate training cost of up to ₹1,00,000 (Rupees One Lakh only).</w:t>
      </w:r>
    </w:p>
    <w:p>
      <w:pPr>
        <w:spacing w:after="40"/>
        <w:ind w:left="360"/>
      </w:pPr>
      <w:r>
        <w:rPr>
          <w:rFonts w:ascii="Calibri" w:cs="Calibri" w:eastAsia="Calibri" w:hAnsi="Calibri"/>
          <w:b/>
          <w:bCs/>
          <w:sz w:val="22"/>
          <w:szCs w:val="22"/>
        </w:rPr>
        <w:t xml:space="preserve">3. Roles &amp; Responsibilities: </w:t>
      </w:r>
      <w:r>
        <w:rPr>
          <w:rFonts w:ascii="Calibri" w:cs="Calibri" w:eastAsia="Calibri" w:hAnsi="Calibri"/>
          <w:sz w:val="22"/>
          <w:szCs w:val="22"/>
        </w:rPr>
        <w:t xml:space="preserve">During the tenure, the employee is expected to actively participate in:</w:t>
      </w:r>
    </w:p>
    <w:p>
      <w:pPr>
        <w:spacing w:after="40"/>
        <w:ind w:left="720"/>
      </w:pPr>
      <w:r>
        <w:rPr>
          <w:rFonts w:ascii="Calibri" w:cs="Calibri" w:eastAsia="Calibri" w:hAnsi="Calibri"/>
          <w:sz w:val="22"/>
          <w:szCs w:val="22"/>
        </w:rPr>
        <w:t xml:space="preserve">a. End-to-end business development activities</w:t>
      </w:r>
    </w:p>
    <w:p>
      <w:pPr>
        <w:spacing w:after="40"/>
        <w:ind w:left="720"/>
      </w:pPr>
      <w:r>
        <w:rPr>
          <w:rFonts w:ascii="Calibri" w:cs="Calibri" w:eastAsia="Calibri" w:hAnsi="Calibri"/>
          <w:sz w:val="22"/>
          <w:szCs w:val="22"/>
        </w:rPr>
        <w:t xml:space="preserve">b. Client engagement and lead generation</w:t>
      </w:r>
    </w:p>
    <w:p>
      <w:pPr>
        <w:spacing w:after="40"/>
        <w:ind w:left="720"/>
      </w:pPr>
      <w:r>
        <w:rPr>
          <w:rFonts w:ascii="Calibri" w:cs="Calibri" w:eastAsia="Calibri" w:hAnsi="Calibri"/>
          <w:sz w:val="22"/>
          <w:szCs w:val="22"/>
        </w:rPr>
        <w:t xml:space="preserve">c. Follow-ups and achievement of assigned targets</w:t>
      </w:r>
    </w:p>
    <w:p>
      <w:pPr>
        <w:spacing w:after="40"/>
        <w:ind w:left="720"/>
      </w:pPr>
      <w:r>
        <w:rPr>
          <w:rFonts w:ascii="Calibri" w:cs="Calibri" w:eastAsia="Calibri" w:hAnsi="Calibri"/>
          <w:sz w:val="22"/>
          <w:szCs w:val="22"/>
        </w:rPr>
        <w:t xml:space="preserve">d. Preparation of reports and dashboards</w:t>
      </w:r>
    </w:p>
    <w:p>
      <w:pPr>
        <w:spacing w:after="40"/>
        <w:ind w:left="720"/>
      </w:pPr>
      <w:r>
        <w:rPr>
          <w:rFonts w:ascii="Calibri" w:cs="Calibri" w:eastAsia="Calibri" w:hAnsi="Calibri"/>
          <w:sz w:val="22"/>
          <w:szCs w:val="22"/>
        </w:rPr>
        <w:t xml:space="preserve">e. Completion of mandatory technical and professional training programs</w:t>
      </w:r>
    </w:p>
    <w:p>
      <w:pPr>
        <w:spacing w:after="80"/>
        <w:ind w:left="360"/>
      </w:pPr>
      <w:r>
        <w:rPr>
          <w:rFonts w:ascii="Calibri" w:cs="Calibri" w:eastAsia="Calibri" w:hAnsi="Calibri"/>
          <w:sz w:val="22"/>
          <w:szCs w:val="22"/>
        </w:rPr>
        <w:t xml:space="preserve">4. </w:t>
      </w:r>
      <w:r>
        <w:rPr>
          <w:rFonts w:ascii="Calibri" w:cs="Calibri" w:eastAsia="Calibri" w:hAnsi="Calibri"/>
          <w:b/>
          <w:bCs/>
          <w:sz w:val="22"/>
          <w:szCs w:val="22"/>
        </w:rPr>
        <w:t xml:space="preserve">Performance Management: </w:t>
      </w:r>
      <w:r>
        <w:rPr>
          <w:rFonts w:ascii="Calibri" w:cs="Calibri" w:eastAsia="Calibri" w:hAnsi="Calibri"/>
          <w:sz w:val="22"/>
          <w:szCs w:val="22"/>
        </w:rPr>
        <w:t xml:space="preserve">Repeated performance escalations (more than five (5)) may lead to proportionate salary deductions of ₹1,000 per instance</w:t>
      </w:r>
    </w:p>
    <w:p>
      <w:pPr>
        <w:spacing w:after="80"/>
        <w:ind w:left="360"/>
      </w:pPr>
      <w:r>
        <w:rPr>
          <w:rFonts w:ascii="Calibri" w:cs="Calibri" w:eastAsia="Calibri" w:hAnsi="Calibri"/>
          <w:sz w:val="22"/>
          <w:szCs w:val="22"/>
        </w:rPr>
        <w:t xml:space="preserve">5. </w:t>
      </w:r>
      <w:r>
        <w:rPr>
          <w:rFonts w:ascii="Calibri" w:cs="Calibri" w:eastAsia="Calibri" w:hAnsi="Calibri"/>
          <w:b/>
          <w:bCs/>
          <w:sz w:val="22"/>
          <w:szCs w:val="22"/>
        </w:rPr>
        <w:t xml:space="preserve">Working Hours &amp; Shifts: </w:t>
      </w:r>
      <w:r>
        <w:rPr>
          <w:rFonts w:ascii="Calibri" w:cs="Calibri" w:eastAsia="Calibri" w:hAnsi="Calibri"/>
          <w:sz w:val="22"/>
          <w:szCs w:val="22"/>
        </w:rPr>
        <w:t xml:space="preserve">The employee should be willing to work in any shifts and on weekends, if required, based on business needs</w:t>
      </w:r>
    </w:p>
    <w:p>
      <w:r>
        <w:br w:type="page"/>
      </w:r>
    </w:p>
    <w:p>
      <w:pPr>
        <w:spacing w:before="200" w:after="160"/>
        <w:jc w:val="center"/>
      </w:pPr>
      <w:r>
        <w:rPr>
          <w:rFonts w:ascii="Calibri" w:cs="Calibri" w:eastAsia="Calibri" w:hAnsi="Calibri"/>
          <w:b/>
          <w:bCs/>
          <w:sz w:val="24"/>
          <w:szCs w:val="24"/>
        </w:rPr>
        <w:t xml:space="preserve">Points to Be Noted</w:t>
      </w:r>
    </w:p>
    <w:p>
      <w:pPr>
        <w:spacing w:after="400"/>
      </w:pPr>
      <w:r>
        <w:rPr>
          <w:rFonts w:ascii="Calibri" w:cs="Calibri" w:eastAsia="Calibri" w:hAnsi="Calibri"/>
          <w:b/>
          <w:bCs/>
          <w:sz w:val="22"/>
          <w:szCs w:val="22"/>
        </w:rPr>
        <w:t xml:space="preserve">Notice Period: </w:t>
      </w:r>
      <w:r>
        <w:rPr>
          <w:rFonts w:ascii="Calibri" w:cs="Calibri" w:eastAsia="Calibri" w:hAnsi="Calibri"/>
          <w:sz w:val="22"/>
          <w:szCs w:val="22"/>
        </w:rPr>
        <w:t xml:space="preserve">The company's official notice period is 90 days. Failure to serve the full notice period may result in the employee being marked as terminated in company</w:t>
      </w:r>
    </w:p>
    <w:p>
      <w:pPr>
        <w:spacing w:after="200"/>
      </w:pPr>
    </w:p>
    <w:p>
      <w:pPr>
        <w:spacing w:after="40"/>
      </w:pPr>
      <w:r>
        <w:drawing>
          <wp:inline distT="0" distB="0" distL="0" distR="0">
            <wp:extent cx="952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476250"/>
                    </a:xfrm>
                    <a:prstGeom prst="rect">
                      <a:avLst/>
                    </a:prstGeom>
                  </pic:spPr>
                </pic:pic>
              </a:graphicData>
            </a:graphic>
          </wp:inline>
        </w:drawing>
      </w:r>
    </w:p>
    <w:p>
      <w:pPr>
        <w:spacing w:after="20"/>
      </w:pPr>
      <w:r>
        <w:rPr>
          <w:rFonts w:ascii="Calibri" w:cs="Calibri" w:eastAsia="Calibri" w:hAnsi="Calibri"/>
          <w:b/>
          <w:bCs/>
          <w:sz w:val="22"/>
          <w:szCs w:val="22"/>
        </w:rPr>
        <w:t xml:space="preserve">For ANALYTICS AVENUE LLP</w:t>
      </w:r>
    </w:p>
    <w:p>
      <w:pPr>
        <w:spacing w:after="80"/>
      </w:pPr>
    </w:p>
    <w:p>
      <w:pPr>
        <w:spacing w:after="20"/>
      </w:pPr>
      <w:r>
        <w:rPr>
          <w:rFonts w:ascii="Calibri" w:cs="Calibri" w:eastAsia="Calibri" w:hAnsi="Calibri"/>
          <w:b/>
          <w:bCs/>
          <w:sz w:val="22"/>
          <w:szCs w:val="22"/>
        </w:rPr>
        <w:t xml:space="preserve">Regards,</w:t>
      </w:r>
    </w:p>
    <w:p>
      <w:pPr>
        <w:spacing w:after="20"/>
      </w:pPr>
      <w:r>
        <w:rPr>
          <w:rFonts w:ascii="Calibri" w:cs="Calibri" w:eastAsia="Calibri" w:hAnsi="Calibri"/>
          <w:b/>
          <w:bCs/>
          <w:sz w:val="22"/>
          <w:szCs w:val="22"/>
        </w:rPr>
        <w:t xml:space="preserve">Aswath R</w:t>
      </w:r>
    </w:p>
    <w:p>
      <w:pPr>
        <w:spacing w:after="20"/>
      </w:pPr>
      <w:r>
        <w:rPr>
          <w:rFonts w:ascii="Calibri" w:cs="Calibri" w:eastAsia="Calibri" w:hAnsi="Calibri"/>
          <w:b/>
          <w:bCs/>
          <w:sz w:val="22"/>
          <w:szCs w:val="22"/>
        </w:rPr>
        <w:t xml:space="preserve">Human Resource</w:t>
      </w:r>
    </w:p>
    <w:p>
      <w:pPr>
        <w:spacing w:after="20"/>
      </w:pPr>
      <w:r>
        <w:rPr>
          <w:rFonts w:ascii="Calibri" w:cs="Calibri" w:eastAsia="Calibri" w:hAnsi="Calibri"/>
          <w:b/>
          <w:bCs/>
          <w:sz w:val="22"/>
          <w:szCs w:val="22"/>
        </w:rPr>
        <w:t xml:space="preserve">Analytics Avenue</w:t>
      </w:r>
    </w:p>
    <w:p>
      <w:pPr>
        <w:spacing w:after="160"/>
      </w:pPr>
      <w:r>
        <w:rPr>
          <w:rFonts w:ascii="Calibri" w:cs="Calibri" w:eastAsia="Calibri" w:hAnsi="Calibri"/>
          <w:i/>
          <w:iCs/>
          <w:sz w:val="22"/>
          <w:szCs w:val="22"/>
        </w:rPr>
        <w:t xml:space="preserve">(Empower your bussiness with data driven insights)</w:t>
      </w:r>
    </w:p>
    <w:p>
      <w:pPr>
        <w:spacing w:after="120"/>
      </w:pPr>
    </w:p>
    <w:p>
      <w:pPr>
        <w:spacing w:after="80"/>
      </w:pPr>
      <w:r>
        <w:rPr>
          <w:rFonts w:ascii="Calibri" w:cs="Calibri" w:eastAsia="Calibri" w:hAnsi="Calibri"/>
          <w:b/>
          <w:bCs/>
          <w:sz w:val="22"/>
          <w:szCs w:val="22"/>
        </w:rPr>
        <w:t xml:space="preserve">Acceptance of Offer:</w:t>
      </w:r>
    </w:p>
    <w:p>
      <w:pPr>
        <w:spacing w:after="40"/>
      </w:pPr>
      <w:r>
        <w:rPr>
          <w:rFonts w:ascii="Calibri" w:cs="Calibri" w:eastAsia="Calibri" w:hAnsi="Calibri"/>
          <w:b/>
          <w:bCs/>
          <w:sz w:val="22"/>
          <w:szCs w:val="22"/>
        </w:rPr>
        <w:t xml:space="preserve">I, _____________________accept the position of {{ role }} at</w:t>
      </w:r>
    </w:p>
    <w:p>
      <w:pPr>
        <w:spacing w:after="80"/>
      </w:pPr>
      <w:r>
        <w:rPr>
          <w:rFonts w:ascii="Calibri" w:cs="Calibri" w:eastAsia="Calibri" w:hAnsi="Calibri"/>
          <w:b/>
          <w:bCs/>
          <w:sz w:val="22"/>
          <w:szCs w:val="22"/>
        </w:rPr>
        <w:t xml:space="preserve">Analytics Avenue under the terms and conditions outlined in this offer letter and the document attached.</w:t>
      </w:r>
    </w:p>
    <w:p>
      <w:pPr>
        <w:spacing w:after="140"/>
      </w:pPr>
    </w:p>
    <w:p>
      <w:pPr>
        <w:spacing w:after="120"/>
      </w:pPr>
      <w:r>
        <w:rPr>
          <w:rFonts w:ascii="Calibri" w:cs="Calibri" w:eastAsia="Calibri" w:hAnsi="Calibri"/>
          <w:b/>
          <w:bCs/>
          <w:sz w:val="22"/>
          <w:szCs w:val="22"/>
        </w:rPr>
        <w:t xml:space="preserve">Signature:</w:t>
      </w:r>
    </w:p>
    <w:p>
      <w:pPr>
        <w:spacing w:after="60"/>
      </w:pPr>
      <w:r>
        <w:rPr>
          <w:rFonts w:ascii="Calibri" w:cs="Calibri" w:eastAsia="Calibri" w:hAnsi="Calibri"/>
          <w:b/>
          <w:bCs/>
          <w:sz w:val="22"/>
          <w:szCs w:val="22"/>
        </w:rPr>
        <w:t xml:space="preserve">Date:</w:t>
      </w:r>
    </w:p>
    <w:sectPr>
      <w:headerReference w:type="default" r:id="rId6"/>
      <w:pgSz w:w="11906" w:h="16838" w:orient="portrait"/>
      <w:pgMar w:top="7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952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965b722106d7d64050f2254651ca6edc82b0efb2.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91e55dab855b52dc71c21965067a054aec0fbb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2026-03-23T08:31:07.920Z</dcterms:created>
  <dcterms:modified xsi:type="dcterms:W3CDTF">2026-03-23T08:31:07.921Z</dcterms:modified>
</cp:coreProperties>
</file>

<file path=docProps/custom.xml><?xml version="1.0" encoding="utf-8"?>
<Properties xmlns="http://schemas.openxmlformats.org/officeDocument/2006/custom-properties" xmlns:vt="http://schemas.openxmlformats.org/officeDocument/2006/docPropsVTypes"/>
</file>