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62D79" w:val="clear"/>
        <w:spacing w:after="0" w:before="0"/>
      </w:pPr>
      <w:r>
        <w:rPr>
          <w:sz w:val="2"/>
          <w:szCs w:val="2"/>
        </w:rPr>
        <w:t xml:space="preserve"> </w:t>
      </w:r>
    </w:p>
    <w:p>
      <w:pPr>
        <w:shd w:fill="262D79" w:val="clear"/>
        <w:spacing w:after="60" w:before="300"/>
        <w:jc w:val="center"/>
      </w:pPr>
      <w:r>
        <w:rPr>
          <w:rFonts w:ascii="Calibri" w:cs="Calibri" w:eastAsia="Calibri" w:hAnsi="Calibri"/>
          <w:b/>
          <w:bCs/>
          <w:color w:val="FFFFFF"/>
          <w:sz w:val="44"/>
          <w:szCs w:val="44"/>
        </w:rPr>
        <w:t xml:space="preserve">BUSINESS REQUIREMENT DOCUMENT</w:t>
      </w:r>
    </w:p>
    <w:p>
      <w:pPr>
        <w:shd w:fill="262D79" w:val="clear"/>
        <w:spacing w:after="300" w:before="0"/>
        <w:jc w:val="center"/>
      </w:pPr>
      <w:r>
        <w:rPr>
          <w:rFonts w:ascii="Calibri" w:cs="Calibri" w:eastAsia="Calibri" w:hAnsi="Calibri"/>
          <w:b w:val="false"/>
          <w:bCs w:val="false"/>
          <w:color w:val="EEF0FA"/>
          <w:sz w:val="26"/>
          <w:szCs w:val="26"/>
        </w:rPr>
        <w:t xml:space="preserve">Stakeholder Insights and Performance Dashboard</w:t>
      </w:r>
    </w:p>
    <w:p>
      <w:pPr>
        <w:spacing w:after="200"/>
      </w:pPr>
    </w:p>
    <w:tbl>
      <w:tblPr>
        <w:tblW w:type="pct" w:w="100%"/>
        <w:tblBorders>
          <w:top w:val="single" w:color="262D79" w:sz="4"/>
          <w:left w:val="single" w:color="262D79" w:sz="4"/>
          <w:bottom w:val="single" w:color="262D79" w:sz="4"/>
          <w:right w:val="single" w:color="262D79" w:sz="4"/>
          <w:insideH w:val="single" w:color="C9CDEF" w:sz="2"/>
          <w:insideV w:val="single" w:color="C9CDEF" w:sz="2"/>
        </w:tblBorders>
      </w:tblPr>
      <w:tblGrid>
        <w:gridCol w:w="100"/>
        <w:gridCol w:w="100"/>
        <w:gridCol w:w="100"/>
        <w:gridCol w:w="100"/>
      </w:tblGrid>
      <w:tr>
        <w:trPr>
          <w:tblHeader/>
        </w:trPr>
        <w:tc>
          <w:tcPr>
            <w:shd w:fill="262D79" w:val="clear"/>
            <w:tcMar>
              <w:top w:type="dxa" w:w="80"/>
              <w:left w:type="dxa" w:w="120"/>
              <w:bottom w:type="dxa" w:w="80"/>
              <w:right w:type="dxa" w:w="120"/>
            </w:tcMar>
            <w:vAlign w:val="center"/>
          </w:tcPr>
          <w:p>
            <w:pPr>
              <w:jc w:val="center"/>
            </w:pPr>
            <w:r>
              <w:rPr>
                <w:b/>
                <w:bCs/>
                <w:color w:val="FFFFFF"/>
                <w:sz w:val="20"/>
                <w:szCs w:val="20"/>
              </w:rPr>
              <w:t xml:space="preserve">Prepared By</w:t>
            </w:r>
          </w:p>
        </w:tc>
        <w:tc>
          <w:tcPr>
            <w:shd w:fill="262D79" w:val="clear"/>
            <w:tcMar>
              <w:top w:type="dxa" w:w="80"/>
              <w:left w:type="dxa" w:w="120"/>
              <w:bottom w:type="dxa" w:w="80"/>
              <w:right w:type="dxa" w:w="120"/>
            </w:tcMar>
            <w:vAlign w:val="center"/>
          </w:tcPr>
          <w:p>
            <w:pPr>
              <w:jc w:val="center"/>
            </w:pPr>
            <w:r>
              <w:rPr>
                <w:b/>
                <w:bCs/>
                <w:color w:val="FFFFFF"/>
                <w:sz w:val="20"/>
                <w:szCs w:val="20"/>
              </w:rPr>
              <w:t xml:space="preserve">Date</w:t>
            </w:r>
          </w:p>
        </w:tc>
        <w:tc>
          <w:tcPr>
            <w:shd w:fill="262D79" w:val="clear"/>
            <w:tcMar>
              <w:top w:type="dxa" w:w="80"/>
              <w:left w:type="dxa" w:w="120"/>
              <w:bottom w:type="dxa" w:w="80"/>
              <w:right w:type="dxa" w:w="120"/>
            </w:tcMar>
            <w:vAlign w:val="center"/>
          </w:tcPr>
          <w:p>
            <w:pPr>
              <w:jc w:val="center"/>
            </w:pPr>
            <w:r>
              <w:rPr>
                <w:b/>
                <w:bCs/>
                <w:color w:val="FFFFFF"/>
                <w:sz w:val="20"/>
                <w:szCs w:val="20"/>
              </w:rPr>
              <w:t xml:space="preserve">Version</w:t>
            </w:r>
          </w:p>
        </w:tc>
        <w:tc>
          <w:tcPr>
            <w:shd w:fill="262D79" w:val="clear"/>
            <w:tcMar>
              <w:top w:type="dxa" w:w="80"/>
              <w:left w:type="dxa" w:w="120"/>
              <w:bottom w:type="dxa" w:w="80"/>
              <w:right w:type="dxa" w:w="120"/>
            </w:tcMar>
            <w:vAlign w:val="center"/>
          </w:tcPr>
          <w:p>
            <w:pPr>
              <w:jc w:val="center"/>
            </w:pPr>
            <w:r>
              <w:rPr>
                <w:b/>
                <w:bCs/>
                <w:color w:val="FFFFFF"/>
                <w:sz w:val="20"/>
                <w:szCs w:val="20"/>
              </w:rPr>
              <w:t xml:space="preserve">Document Type</w:t>
            </w:r>
          </w:p>
        </w:tc>
      </w:tr>
      <w:tr>
        <w:tc>
          <w:tcPr>
            <w:shd w:fill="EEF0FA" w:val="clear"/>
            <w:tcMar>
              <w:top w:type="dxa" w:w="100"/>
              <w:left w:type="dxa" w:w="120"/>
              <w:bottom w:type="dxa" w:w="100"/>
              <w:right w:type="dxa" w:w="120"/>
            </w:tcMar>
            <w:vAlign w:val="center"/>
          </w:tcPr>
          <w:p>
            <w:pPr>
              <w:jc w:val="center"/>
            </w:pPr>
            <w:r>
              <w:rPr>
                <w:color w:val="222222"/>
                <w:sz w:val="20"/>
                <w:szCs w:val="20"/>
              </w:rPr>
              <w:t xml:space="preserve">Mahesh</w:t>
            </w:r>
          </w:p>
        </w:tc>
        <w:tc>
          <w:tcPr>
            <w:shd w:fill="EEF0FA" w:val="clear"/>
            <w:tcMar>
              <w:top w:type="dxa" w:w="100"/>
              <w:left w:type="dxa" w:w="120"/>
              <w:bottom w:type="dxa" w:w="100"/>
              <w:right w:type="dxa" w:w="120"/>
            </w:tcMar>
            <w:vAlign w:val="center"/>
          </w:tcPr>
          <w:p>
            <w:pPr>
              <w:jc w:val="center"/>
            </w:pPr>
            <w:r>
              <w:rPr>
                <w:color w:val="222222"/>
                <w:sz w:val="20"/>
                <w:szCs w:val="20"/>
              </w:rPr>
              <w:t xml:space="preserve">8 September 2026</w:t>
            </w:r>
          </w:p>
        </w:tc>
        <w:tc>
          <w:tcPr>
            <w:shd w:fill="EEF0FA" w:val="clear"/>
            <w:tcMar>
              <w:top w:type="dxa" w:w="100"/>
              <w:left w:type="dxa" w:w="120"/>
              <w:bottom w:type="dxa" w:w="100"/>
              <w:right w:type="dxa" w:w="120"/>
            </w:tcMar>
            <w:vAlign w:val="center"/>
          </w:tcPr>
          <w:p>
            <w:pPr>
              <w:jc w:val="center"/>
            </w:pPr>
            <w:r>
              <w:rPr>
                <w:color w:val="222222"/>
                <w:sz w:val="20"/>
                <w:szCs w:val="20"/>
              </w:rPr>
              <w:t xml:space="preserve">1.0</w:t>
            </w:r>
          </w:p>
        </w:tc>
        <w:tc>
          <w:tcPr>
            <w:shd w:fill="EEF0FA" w:val="clear"/>
            <w:tcMar>
              <w:top w:type="dxa" w:w="100"/>
              <w:left w:type="dxa" w:w="120"/>
              <w:bottom w:type="dxa" w:w="100"/>
              <w:right w:type="dxa" w:w="120"/>
            </w:tcMar>
            <w:vAlign w:val="center"/>
          </w:tcPr>
          <w:p>
            <w:pPr>
              <w:jc w:val="center"/>
            </w:pPr>
            <w:r>
              <w:rPr>
                <w:color w:val="222222"/>
                <w:sz w:val="20"/>
                <w:szCs w:val="20"/>
              </w:rPr>
              <w:t xml:space="preserve">BRD</w:t>
            </w:r>
          </w:p>
        </w:tc>
      </w:tr>
    </w:tbl>
    <w:p>
      <w:pPr>
        <w:spacing w:after="260"/>
      </w:pPr>
    </w:p>
    <w:p>
      <w:pPr>
        <w:pStyle w:val="Heading1"/>
        <w:pBdr>
          <w:bottom w:val="single" w:color="262D79" w:sz="8" w:space="4"/>
        </w:pBdr>
        <w:spacing w:after="160" w:before="360"/>
      </w:pPr>
      <w:r>
        <w:rPr>
          <w:rFonts w:ascii="Calibri" w:cs="Calibri" w:eastAsia="Calibri" w:hAnsi="Calibri"/>
          <w:b/>
          <w:bCs/>
          <w:color w:val="262D79"/>
          <w:sz w:val="30"/>
          <w:szCs w:val="30"/>
        </w:rPr>
        <w:t xml:space="preserve">1. Project Background</w:t>
      </w:r>
    </w:p>
    <w:p>
      <w:pPr>
        <w:spacing w:after="140" w:line="300"/>
      </w:pPr>
      <w:r>
        <w:rPr>
          <w:i w:val="false"/>
          <w:iCs w:val="false"/>
          <w:color w:val="222222"/>
          <w:sz w:val="21"/>
          <w:szCs w:val="21"/>
        </w:rPr>
        <w:t xml:space="preserve">This BRD was created as part of a self-directed Tableau practice project, structured the same way a Business Analyst would document requirements for a real BFSI/insurance client. The goal is to simulate the full BI project lifecycle — requirement gathering, data analysis, dashboard development, testing, and documentation — rather than just building an isolated chart.</w:t>
      </w:r>
    </w:p>
    <w:p>
      <w:pPr>
        <w:pBdr>
          <w:left w:val="single" w:color="262D79" w:sz="24" w:space="8"/>
        </w:pBdr>
        <w:shd w:fill="EEF0FA" w:val="clear"/>
        <w:spacing w:after="200" w:before="120"/>
        <w:ind w:left="200"/>
      </w:pPr>
      <w:r>
        <w:rPr>
          <w:i/>
          <w:iCs/>
          <w:color w:val="1B2158"/>
          <w:sz w:val="20"/>
          <w:szCs w:val="20"/>
        </w:rPr>
        <w:t xml:space="preserve">Client context (simulated): a fictional insurance company needs a consolidated view of premium performance, profitability, and stakeholder/shareholding structure to support leadership decision-making.</w:t>
      </w:r>
    </w:p>
    <w:p>
      <w:pPr>
        <w:pStyle w:val="Heading1"/>
        <w:pBdr>
          <w:bottom w:val="single" w:color="262D79" w:sz="8" w:space="4"/>
        </w:pBdr>
        <w:spacing w:after="160" w:before="360"/>
      </w:pPr>
      <w:r>
        <w:rPr>
          <w:rFonts w:ascii="Calibri" w:cs="Calibri" w:eastAsia="Calibri" w:hAnsi="Calibri"/>
          <w:b/>
          <w:bCs/>
          <w:color w:val="262D79"/>
          <w:sz w:val="30"/>
          <w:szCs w:val="30"/>
        </w:rPr>
        <w:t xml:space="preserve">2. Purpose</w:t>
      </w:r>
    </w:p>
    <w:p>
      <w:pPr>
        <w:spacing w:after="140" w:line="300"/>
      </w:pPr>
      <w:r>
        <w:rPr>
          <w:i w:val="false"/>
          <w:iCs w:val="false"/>
          <w:color w:val="222222"/>
          <w:sz w:val="21"/>
          <w:szCs w:val="21"/>
        </w:rPr>
        <w:t xml:space="preserve">The dashboard will provide a comprehensive view of key business metrics and data insights related to stakeholders, insurers, and policy performance. It will enable stakeholders to analyse premium trends, profitability, and asset distribution to make data-driven decisions.</w:t>
      </w:r>
    </w:p>
    <w:p>
      <w:pPr>
        <w:spacing w:after="260" w:before="20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24225"/>
                    </a:xfrm>
                    <a:prstGeom prst="rect">
                      <a:avLst/>
                    </a:prstGeom>
                  </pic:spPr>
                </pic:pic>
              </a:graphicData>
            </a:graphic>
          </wp:inline>
        </w:drawing>
      </w:r>
    </w:p>
    <w:p>
      <w:pPr>
        <w:pStyle w:val="Heading1"/>
        <w:pBdr>
          <w:bottom w:val="single" w:color="262D79" w:sz="8" w:space="4"/>
        </w:pBdr>
        <w:spacing w:after="160" w:before="360"/>
      </w:pPr>
      <w:r>
        <w:rPr>
          <w:rFonts w:ascii="Calibri" w:cs="Calibri" w:eastAsia="Calibri" w:hAnsi="Calibri"/>
          <w:b/>
          <w:bCs/>
          <w:color w:val="262D79"/>
          <w:sz w:val="30"/>
          <w:szCs w:val="30"/>
        </w:rPr>
        <w:t xml:space="preserve">3. Requirements</w:t>
      </w:r>
    </w:p>
    <w:p>
      <w:pPr>
        <w:pStyle w:val="Heading2"/>
        <w:spacing w:after="120" w:before="260"/>
      </w:pPr>
      <w:r>
        <w:rPr>
          <w:rFonts w:ascii="Calibri" w:cs="Calibri" w:eastAsia="Calibri" w:hAnsi="Calibri"/>
          <w:b/>
          <w:bCs/>
          <w:color w:val="1B2158"/>
          <w:sz w:val="24"/>
          <w:szCs w:val="24"/>
        </w:rPr>
        <w:t xml:space="preserve">3.1 Charts and Visualisations</w:t>
      </w:r>
    </w:p>
    <w:p>
      <w:pPr>
        <w:pStyle w:val="ListParagraph"/>
        <w:numPr>
          <w:ilvl w:val="0"/>
          <w:numId w:val="1"/>
        </w:numPr>
        <w:spacing w:after="100" w:line="280"/>
      </w:pPr>
      <w:r>
        <w:rPr>
          <w:color w:val="222222"/>
          <w:sz w:val="21"/>
          <w:szCs w:val="21"/>
        </w:rPr>
        <w:t xml:space="preserve">Compare the total value created by different insurers.</w:t>
      </w:r>
    </w:p>
    <w:p>
      <w:pPr>
        <w:pStyle w:val="ListParagraph"/>
        <w:numPr>
          <w:ilvl w:val="0"/>
          <w:numId w:val="1"/>
        </w:numPr>
        <w:spacing w:after="100" w:line="280"/>
      </w:pPr>
      <w:r>
        <w:rPr>
          <w:color w:val="222222"/>
          <w:sz w:val="21"/>
          <w:szCs w:val="21"/>
        </w:rPr>
        <w:t xml:space="preserve">Display trends in premiums collected over time.</w:t>
      </w:r>
    </w:p>
    <w:p>
      <w:pPr>
        <w:pStyle w:val="ListParagraph"/>
        <w:numPr>
          <w:ilvl w:val="0"/>
          <w:numId w:val="1"/>
        </w:numPr>
        <w:spacing w:after="100" w:line="280"/>
      </w:pPr>
      <w:r>
        <w:rPr>
          <w:color w:val="222222"/>
          <w:sz w:val="21"/>
          <w:szCs w:val="21"/>
        </w:rPr>
        <w:t xml:space="preserve">Showcase the distribution of shareholding patterns among stakeholders.</w:t>
      </w:r>
    </w:p>
    <w:p>
      <w:pPr>
        <w:pStyle w:val="ListParagraph"/>
        <w:numPr>
          <w:ilvl w:val="0"/>
          <w:numId w:val="1"/>
        </w:numPr>
        <w:spacing w:after="100" w:line="280"/>
      </w:pPr>
      <w:r>
        <w:rPr>
          <w:color w:val="222222"/>
          <w:sz w:val="21"/>
          <w:szCs w:val="21"/>
        </w:rPr>
        <w:t xml:space="preserve">Analyse the relationship between cost ratio and profitability.</w:t>
      </w:r>
    </w:p>
    <w:p>
      <w:pPr>
        <w:pStyle w:val="ListParagraph"/>
        <w:numPr>
          <w:ilvl w:val="0"/>
          <w:numId w:val="1"/>
        </w:numPr>
        <w:spacing w:after="100" w:line="280"/>
      </w:pPr>
      <w:r>
        <w:rPr>
          <w:color w:val="222222"/>
          <w:sz w:val="21"/>
          <w:szCs w:val="21"/>
        </w:rPr>
        <w:t xml:space="preserve">Visualise profitability for different cities and policy tenure durations.</w:t>
      </w:r>
    </w:p>
    <w:p>
      <w:pPr>
        <w:pStyle w:val="ListParagraph"/>
        <w:numPr>
          <w:ilvl w:val="0"/>
          <w:numId w:val="1"/>
        </w:numPr>
        <w:spacing w:after="100" w:line="280"/>
      </w:pPr>
      <w:r>
        <w:rPr>
          <w:color w:val="222222"/>
          <w:sz w:val="21"/>
          <w:szCs w:val="21"/>
        </w:rPr>
        <w:t xml:space="preserve">Represent the distribution of assets under management across stakeholders.</w:t>
      </w:r>
    </w:p>
    <w:p>
      <w:pPr>
        <w:pStyle w:val="Heading2"/>
        <w:spacing w:after="120" w:before="260"/>
      </w:pPr>
      <w:r>
        <w:rPr>
          <w:rFonts w:ascii="Calibri" w:cs="Calibri" w:eastAsia="Calibri" w:hAnsi="Calibri"/>
          <w:b/>
          <w:bCs/>
          <w:color w:val="1B2158"/>
          <w:sz w:val="24"/>
          <w:szCs w:val="24"/>
        </w:rPr>
        <w:t xml:space="preserve">3.2 Key Performance Indicators (KPIs)</w:t>
      </w:r>
    </w:p>
    <w:p>
      <w:pPr>
        <w:pStyle w:val="ListParagraph"/>
        <w:numPr>
          <w:ilvl w:val="0"/>
          <w:numId w:val="1"/>
        </w:numPr>
        <w:spacing w:after="100" w:line="280"/>
      </w:pPr>
      <w:r>
        <w:rPr>
          <w:color w:val="222222"/>
          <w:sz w:val="21"/>
          <w:szCs w:val="21"/>
        </w:rPr>
        <w:t xml:space="preserve">Display the total premium collected.</w:t>
      </w:r>
    </w:p>
    <w:p>
      <w:pPr>
        <w:pStyle w:val="ListParagraph"/>
        <w:numPr>
          <w:ilvl w:val="0"/>
          <w:numId w:val="1"/>
        </w:numPr>
        <w:spacing w:after="100" w:line="280"/>
      </w:pPr>
      <w:r>
        <w:rPr>
          <w:color w:val="222222"/>
          <w:sz w:val="21"/>
          <w:szCs w:val="21"/>
        </w:rPr>
        <w:t xml:space="preserve">Show the average age of stakeholders.</w:t>
      </w:r>
    </w:p>
    <w:p>
      <w:pPr>
        <w:pStyle w:val="ListParagraph"/>
        <w:numPr>
          <w:ilvl w:val="0"/>
          <w:numId w:val="1"/>
        </w:numPr>
        <w:spacing w:after="100" w:line="280"/>
      </w:pPr>
      <w:r>
        <w:rPr>
          <w:color w:val="222222"/>
          <w:sz w:val="21"/>
          <w:szCs w:val="21"/>
        </w:rPr>
        <w:t xml:space="preserve">Highlight the total value created for insurers/stakeholders where Assets Under Management is 'Equity'.</w:t>
      </w:r>
    </w:p>
    <w:p>
      <w:pPr>
        <w:pStyle w:val="ListParagraph"/>
        <w:numPr>
          <w:ilvl w:val="0"/>
          <w:numId w:val="1"/>
        </w:numPr>
        <w:spacing w:after="100" w:line="280"/>
      </w:pPr>
      <w:r>
        <w:rPr>
          <w:color w:val="222222"/>
          <w:sz w:val="21"/>
          <w:szCs w:val="21"/>
        </w:rPr>
        <w:t xml:space="preserve">Identify the highest value created by a single insurer.</w:t>
      </w:r>
    </w:p>
    <w:p>
      <w:pPr>
        <w:pStyle w:val="Heading2"/>
        <w:spacing w:after="120" w:before="260"/>
      </w:pPr>
      <w:r>
        <w:rPr>
          <w:rFonts w:ascii="Calibri" w:cs="Calibri" w:eastAsia="Calibri" w:hAnsi="Calibri"/>
          <w:b/>
          <w:bCs/>
          <w:color w:val="1B2158"/>
          <w:sz w:val="24"/>
          <w:szCs w:val="24"/>
        </w:rPr>
        <w:t xml:space="preserve">3.3 Filters</w:t>
      </w:r>
    </w:p>
    <w:p>
      <w:pPr>
        <w:pStyle w:val="ListParagraph"/>
        <w:numPr>
          <w:ilvl w:val="0"/>
          <w:numId w:val="1"/>
        </w:numPr>
        <w:spacing w:after="100" w:line="280"/>
      </w:pPr>
      <w:r>
        <w:rPr>
          <w:color w:val="222222"/>
          <w:sz w:val="21"/>
          <w:szCs w:val="21"/>
        </w:rPr>
        <w:t xml:space="preserve">Filter data by city to focus on specific regions.</w:t>
      </w:r>
    </w:p>
    <w:p>
      <w:pPr>
        <w:pStyle w:val="ListParagraph"/>
        <w:numPr>
          <w:ilvl w:val="0"/>
          <w:numId w:val="1"/>
        </w:numPr>
        <w:spacing w:after="100" w:line="280"/>
      </w:pPr>
      <w:r>
        <w:rPr>
          <w:color w:val="222222"/>
          <w:sz w:val="21"/>
          <w:szCs w:val="21"/>
        </w:rPr>
        <w:t xml:space="preserve">Filter data by stakeholders to analyse their contributions.</w:t>
      </w:r>
    </w:p>
    <w:p>
      <w:pPr>
        <w:pStyle w:val="ListParagraph"/>
        <w:numPr>
          <w:ilvl w:val="0"/>
          <w:numId w:val="1"/>
        </w:numPr>
        <w:spacing w:after="100" w:line="280"/>
      </w:pPr>
      <w:r>
        <w:rPr>
          <w:color w:val="222222"/>
          <w:sz w:val="21"/>
          <w:szCs w:val="21"/>
        </w:rPr>
        <w:t xml:space="preserve">Provide a filter to segment policies based on tenure.</w:t>
      </w:r>
    </w:p>
    <w:p>
      <w:pPr>
        <w:pStyle w:val="ListParagraph"/>
        <w:numPr>
          <w:ilvl w:val="0"/>
          <w:numId w:val="1"/>
        </w:numPr>
        <w:spacing w:after="100" w:line="280"/>
      </w:pPr>
      <w:r>
        <w:rPr>
          <w:color w:val="222222"/>
          <w:sz w:val="21"/>
          <w:szCs w:val="21"/>
        </w:rPr>
        <w:t xml:space="preserve">Allow filtering of data within a specific date range.</w:t>
      </w:r>
    </w:p>
    <w:p>
      <w:pPr>
        <w:pStyle w:val="ListParagraph"/>
        <w:numPr>
          <w:ilvl w:val="0"/>
          <w:numId w:val="1"/>
        </w:numPr>
        <w:spacing w:after="100" w:line="280"/>
      </w:pPr>
      <w:r>
        <w:rPr>
          <w:color w:val="222222"/>
          <w:sz w:val="21"/>
          <w:szCs w:val="21"/>
        </w:rPr>
        <w:t xml:space="preserve">Enable filtering by gender for demographic insights.</w:t>
      </w:r>
    </w:p>
    <w:p>
      <w:pPr>
        <w:pStyle w:val="ListParagraph"/>
        <w:numPr>
          <w:ilvl w:val="0"/>
          <w:numId w:val="1"/>
        </w:numPr>
        <w:spacing w:after="100" w:line="280"/>
      </w:pPr>
      <w:r>
        <w:rPr>
          <w:color w:val="222222"/>
          <w:sz w:val="21"/>
          <w:szCs w:val="21"/>
        </w:rPr>
        <w:t xml:space="preserve">(Added during development) Filter by profitability type and by premium category, for finer-grained analysis.</w:t>
      </w:r>
    </w:p>
    <w:p>
      <w:pPr>
        <w:pStyle w:val="Heading2"/>
        <w:spacing w:after="120" w:before="260"/>
      </w:pPr>
      <w:r>
        <w:rPr>
          <w:rFonts w:ascii="Calibri" w:cs="Calibri" w:eastAsia="Calibri" w:hAnsi="Calibri"/>
          <w:b/>
          <w:bCs/>
          <w:color w:val="1B2158"/>
          <w:sz w:val="24"/>
          <w:szCs w:val="24"/>
        </w:rPr>
        <w:t xml:space="preserve">3.4 Interactivity</w:t>
      </w:r>
    </w:p>
    <w:p>
      <w:pPr>
        <w:pStyle w:val="ListParagraph"/>
        <w:numPr>
          <w:ilvl w:val="0"/>
          <w:numId w:val="1"/>
        </w:numPr>
        <w:spacing w:after="100" w:line="280"/>
      </w:pPr>
      <w:r>
        <w:rPr>
          <w:color w:val="222222"/>
          <w:sz w:val="21"/>
          <w:szCs w:val="21"/>
        </w:rPr>
        <w:t xml:space="preserve">Filters and KPIs update dynamically based on selections, across the entire data source (not a single sheet).</w:t>
      </w:r>
    </w:p>
    <w:p>
      <w:pPr>
        <w:pStyle w:val="ListParagraph"/>
        <w:numPr>
          <w:ilvl w:val="0"/>
          <w:numId w:val="1"/>
        </w:numPr>
        <w:spacing w:after="100" w:line="280"/>
      </w:pPr>
      <w:r>
        <w:rPr>
          <w:color w:val="222222"/>
          <w:sz w:val="21"/>
          <w:szCs w:val="21"/>
        </w:rPr>
        <w:t xml:space="preserve">Tooltips display detailed information on hover for every mark.</w:t>
      </w:r>
    </w:p>
    <w:p>
      <w:pPr>
        <w:pStyle w:val="Heading2"/>
        <w:spacing w:after="120" w:before="260"/>
      </w:pPr>
      <w:r>
        <w:rPr>
          <w:rFonts w:ascii="Calibri" w:cs="Calibri" w:eastAsia="Calibri" w:hAnsi="Calibri"/>
          <w:b/>
          <w:bCs/>
          <w:color w:val="1B2158"/>
          <w:sz w:val="24"/>
          <w:szCs w:val="24"/>
        </w:rPr>
        <w:t xml:space="preserve">3.5 Export Options</w:t>
      </w:r>
    </w:p>
    <w:p>
      <w:pPr>
        <w:pStyle w:val="ListParagraph"/>
        <w:numPr>
          <w:ilvl w:val="0"/>
          <w:numId w:val="1"/>
        </w:numPr>
        <w:spacing w:after="100" w:line="280"/>
      </w:pPr>
      <w:r>
        <w:rPr>
          <w:color w:val="222222"/>
          <w:sz w:val="21"/>
          <w:szCs w:val="21"/>
        </w:rPr>
        <w:t xml:space="preserve">Provide a dedicated PDF export button for stakeholders to download the dashboard.</w:t>
      </w:r>
    </w:p>
    <w:p>
      <w:pPr>
        <w:pStyle w:val="ListParagraph"/>
        <w:numPr>
          <w:ilvl w:val="0"/>
          <w:numId w:val="1"/>
        </w:numPr>
        <w:spacing w:after="100" w:line="280"/>
      </w:pPr>
      <w:r>
        <w:rPr>
          <w:color w:val="222222"/>
          <w:sz w:val="21"/>
          <w:szCs w:val="21"/>
        </w:rPr>
        <w:t xml:space="preserve">Ensure the export captures all visible charts, KPIs, and filter panel labels.</w:t>
      </w:r>
    </w:p>
    <w:p>
      <w:pPr>
        <w:pStyle w:val="Heading2"/>
        <w:spacing w:after="120" w:before="260"/>
      </w:pPr>
      <w:r>
        <w:rPr>
          <w:rFonts w:ascii="Calibri" w:cs="Calibri" w:eastAsia="Calibri" w:hAnsi="Calibri"/>
          <w:b/>
          <w:bCs/>
          <w:color w:val="1B2158"/>
          <w:sz w:val="24"/>
          <w:szCs w:val="24"/>
        </w:rPr>
        <w:t xml:space="preserve">3.6 User Access</w:t>
      </w:r>
    </w:p>
    <w:p>
      <w:pPr>
        <w:pStyle w:val="ListParagraph"/>
        <w:numPr>
          <w:ilvl w:val="0"/>
          <w:numId w:val="1"/>
        </w:numPr>
        <w:spacing w:after="100" w:line="280"/>
      </w:pPr>
      <w:r>
        <w:rPr>
          <w:color w:val="222222"/>
          <w:sz w:val="21"/>
          <w:szCs w:val="21"/>
        </w:rPr>
        <w:t xml:space="preserve">Documented for completeness: in a production deployment, role-based access would control which stakeholder group sees which data. Not implemented in this single-user portfolio build — see Assumptions below.</w:t>
      </w:r>
    </w:p>
    <w:p>
      <w:pPr>
        <w:pStyle w:val="Heading1"/>
        <w:pBdr>
          <w:bottom w:val="single" w:color="262D79" w:sz="8" w:space="4"/>
        </w:pBdr>
        <w:spacing w:after="160" w:before="360"/>
      </w:pPr>
      <w:r>
        <w:rPr>
          <w:rFonts w:ascii="Calibri" w:cs="Calibri" w:eastAsia="Calibri" w:hAnsi="Calibri"/>
          <w:b/>
          <w:bCs/>
          <w:color w:val="262D79"/>
          <w:sz w:val="30"/>
          <w:szCs w:val="30"/>
        </w:rPr>
        <w:t xml:space="preserve">4. Assumptions and Constraints</w:t>
      </w:r>
    </w:p>
    <w:p>
      <w:pPr>
        <w:pStyle w:val="ListParagraph"/>
        <w:numPr>
          <w:ilvl w:val="0"/>
          <w:numId w:val="1"/>
        </w:numPr>
        <w:spacing w:after="100" w:line="280"/>
      </w:pPr>
      <w:r>
        <w:rPr>
          <w:color w:val="222222"/>
          <w:sz w:val="21"/>
          <w:szCs w:val="21"/>
        </w:rPr>
        <w:t xml:space="preserve">Dataset is a single, pre-cleaned Excel file (Finance_record.xlsx); no multi-table joins or live database connection were required.</w:t>
      </w:r>
    </w:p>
    <w:p>
      <w:pPr>
        <w:pStyle w:val="ListParagraph"/>
        <w:numPr>
          <w:ilvl w:val="0"/>
          <w:numId w:val="1"/>
        </w:numPr>
        <w:spacing w:after="100" w:line="280"/>
      </w:pPr>
      <w:r>
        <w:rPr>
          <w:color w:val="222222"/>
          <w:sz w:val="21"/>
          <w:szCs w:val="21"/>
        </w:rPr>
        <w:t xml:space="preserve">This is an independent practice project — there is no real client, and the requirements above were self-authored to mirror a realistic BRD.</w:t>
      </w:r>
    </w:p>
    <w:p>
      <w:pPr>
        <w:pStyle w:val="ListParagraph"/>
        <w:numPr>
          <w:ilvl w:val="0"/>
          <w:numId w:val="1"/>
        </w:numPr>
        <w:spacing w:after="100" w:line="280"/>
      </w:pPr>
      <w:r>
        <w:rPr>
          <w:color w:val="222222"/>
          <w:sz w:val="21"/>
          <w:szCs w:val="21"/>
        </w:rPr>
        <w:t xml:space="preserve">Role-based access, authentication, and a live watermarked-export pipeline are documented as requirements but not implemented, since the dashboard is hosted as a public, single-user Tableau Public workbook.</w:t>
      </w:r>
    </w:p>
    <w:p>
      <w:pPr>
        <w:pStyle w:val="ListParagraph"/>
        <w:numPr>
          <w:ilvl w:val="0"/>
          <w:numId w:val="1"/>
        </w:numPr>
        <w:spacing w:after="100" w:line="280"/>
      </w:pPr>
      <w:r>
        <w:rPr>
          <w:color w:val="222222"/>
          <w:sz w:val="21"/>
          <w:szCs w:val="21"/>
        </w:rPr>
        <w:t xml:space="preserve">All figures (e.g., 245.9B total premium) are illustrative, generated from sample data, and do not represent any real company.</w:t>
      </w:r>
    </w:p>
    <w:p>
      <w:pPr>
        <w:pStyle w:val="Heading1"/>
        <w:pBdr>
          <w:bottom w:val="single" w:color="262D79" w:sz="8" w:space="4"/>
        </w:pBdr>
        <w:spacing w:after="160" w:before="360"/>
      </w:pPr>
      <w:r>
        <w:rPr>
          <w:rFonts w:ascii="Calibri" w:cs="Calibri" w:eastAsia="Calibri" w:hAnsi="Calibri"/>
          <w:b/>
          <w:bCs/>
          <w:color w:val="262D79"/>
          <w:sz w:val="30"/>
          <w:szCs w:val="30"/>
        </w:rPr>
        <w:t xml:space="preserve">5. Deliverables</w:t>
      </w:r>
    </w:p>
    <w:tbl>
      <w:tblPr>
        <w:tblW w:type="pct" w:w="100%"/>
        <w:tblBorders>
          <w:top w:val="single" w:color="262D79" w:sz="4"/>
          <w:left w:val="single" w:color="262D79" w:sz="4"/>
          <w:bottom w:val="single" w:color="262D79" w:sz="4"/>
          <w:right w:val="single" w:color="262D79" w:sz="4"/>
          <w:insideH w:val="single" w:color="C9CDEF" w:sz="2"/>
          <w:insideV w:val="single" w:color="C9CDEF" w:sz="2"/>
        </w:tblBorders>
      </w:tblPr>
      <w:tblGrid>
        <w:gridCol w:w="100"/>
        <w:gridCol w:w="100"/>
      </w:tblGrid>
      <w:tr>
        <w:trPr>
          <w:tblHeader/>
        </w:trPr>
        <w:tc>
          <w:tcPr>
            <w:tcW w:type="pct" w:w="70%"/>
            <w:shd w:fill="262D79" w:val="clear"/>
            <w:tcMar>
              <w:top w:type="dxa" w:w="80"/>
              <w:left w:type="dxa" w:w="100"/>
              <w:bottom w:type="dxa" w:w="80"/>
              <w:right w:type="dxa" w:w="100"/>
            </w:tcMar>
          </w:tcPr>
          <w:p>
            <w:r>
              <w:rPr>
                <w:b/>
                <w:bCs/>
                <w:color w:val="FFFFFF"/>
                <w:sz w:val="19"/>
                <w:szCs w:val="19"/>
              </w:rPr>
              <w:t xml:space="preserve">Deliverable</w:t>
            </w:r>
          </w:p>
        </w:tc>
        <w:tc>
          <w:tcPr>
            <w:tcW w:type="pct" w:w="30%"/>
            <w:shd w:fill="262D79" w:val="clear"/>
            <w:tcMar>
              <w:top w:type="dxa" w:w="80"/>
              <w:left w:type="dxa" w:w="100"/>
              <w:bottom w:type="dxa" w:w="80"/>
              <w:right w:type="dxa" w:w="100"/>
            </w:tcMar>
          </w:tcPr>
          <w:p>
            <w:r>
              <w:rPr>
                <w:b/>
                <w:bCs/>
                <w:color w:val="FFFFFF"/>
                <w:sz w:val="19"/>
                <w:szCs w:val="19"/>
              </w:rPr>
              <w:t xml:space="preserve">Status</w:t>
            </w:r>
          </w:p>
        </w:tc>
      </w:tr>
      <w:tr>
        <w:tc>
          <w:tcPr>
            <w:tcW w:type="pct" w:w="70%"/>
            <w:shd w:fill="FFFFFF" w:val="clear"/>
            <w:tcMar>
              <w:top w:type="dxa" w:w="70"/>
              <w:left w:type="dxa" w:w="100"/>
              <w:bottom w:type="dxa" w:w="70"/>
              <w:right w:type="dxa" w:w="100"/>
            </w:tcMar>
          </w:tcPr>
          <w:p>
            <w:r>
              <w:rPr>
                <w:color w:val="222222"/>
                <w:sz w:val="19"/>
                <w:szCs w:val="19"/>
              </w:rPr>
              <w:t xml:space="preserve">1 interactive Tableau dashboard (6 views + 4 KPIs + filters + PDF export)</w:t>
            </w:r>
          </w:p>
        </w:tc>
        <w:tc>
          <w:tcPr>
            <w:tcW w:type="pct" w:w="30%"/>
            <w:shd w:fill="FFFFFF" w:val="clear"/>
            <w:tcMar>
              <w:top w:type="dxa" w:w="70"/>
              <w:left w:type="dxa" w:w="100"/>
              <w:bottom w:type="dxa" w:w="70"/>
              <w:right w:type="dxa" w:w="100"/>
            </w:tcMar>
          </w:tcPr>
          <w:p>
            <w:r>
              <w:rPr>
                <w:color w:val="222222"/>
                <w:sz w:val="19"/>
                <w:szCs w:val="19"/>
              </w:rPr>
              <w:t xml:space="preserve">Complete</w:t>
            </w:r>
          </w:p>
        </w:tc>
      </w:tr>
      <w:tr>
        <w:tc>
          <w:tcPr>
            <w:tcW w:type="pct" w:w="70%"/>
            <w:shd w:fill="EEF0FA" w:val="clear"/>
            <w:tcMar>
              <w:top w:type="dxa" w:w="70"/>
              <w:left w:type="dxa" w:w="100"/>
              <w:bottom w:type="dxa" w:w="70"/>
              <w:right w:type="dxa" w:w="100"/>
            </w:tcMar>
          </w:tcPr>
          <w:p>
            <w:r>
              <w:rPr>
                <w:color w:val="222222"/>
                <w:sz w:val="19"/>
                <w:szCs w:val="19"/>
              </w:rPr>
              <w:t xml:space="preserve">Business Requirement Document (this document)</w:t>
            </w:r>
          </w:p>
        </w:tc>
        <w:tc>
          <w:tcPr>
            <w:tcW w:type="pct" w:w="30%"/>
            <w:shd w:fill="EEF0FA" w:val="clear"/>
            <w:tcMar>
              <w:top w:type="dxa" w:w="70"/>
              <w:left w:type="dxa" w:w="100"/>
              <w:bottom w:type="dxa" w:w="70"/>
              <w:right w:type="dxa" w:w="100"/>
            </w:tcMar>
          </w:tcPr>
          <w:p>
            <w:r>
              <w:rPr>
                <w:color w:val="222222"/>
                <w:sz w:val="19"/>
                <w:szCs w:val="19"/>
              </w:rPr>
              <w:t xml:space="preserve">Complete</w:t>
            </w:r>
          </w:p>
        </w:tc>
      </w:tr>
      <w:tr>
        <w:tc>
          <w:tcPr>
            <w:tcW w:type="pct" w:w="70%"/>
            <w:shd w:fill="FFFFFF" w:val="clear"/>
            <w:tcMar>
              <w:top w:type="dxa" w:w="70"/>
              <w:left w:type="dxa" w:w="100"/>
              <w:bottom w:type="dxa" w:w="70"/>
              <w:right w:type="dxa" w:w="100"/>
            </w:tcMar>
          </w:tcPr>
          <w:p>
            <w:r>
              <w:rPr>
                <w:color w:val="222222"/>
                <w:sz w:val="19"/>
                <w:szCs w:val="19"/>
              </w:rPr>
              <w:t xml:space="preserve">User Guide</w:t>
            </w:r>
          </w:p>
        </w:tc>
        <w:tc>
          <w:tcPr>
            <w:tcW w:type="pct" w:w="30%"/>
            <w:shd w:fill="FFFFFF" w:val="clear"/>
            <w:tcMar>
              <w:top w:type="dxa" w:w="70"/>
              <w:left w:type="dxa" w:w="100"/>
              <w:bottom w:type="dxa" w:w="70"/>
              <w:right w:type="dxa" w:w="100"/>
            </w:tcMar>
          </w:tcPr>
          <w:p>
            <w:r>
              <w:rPr>
                <w:color w:val="222222"/>
                <w:sz w:val="19"/>
                <w:szCs w:val="19"/>
              </w:rPr>
              <w:t xml:space="preserve">Complete</w:t>
            </w:r>
          </w:p>
        </w:tc>
      </w:tr>
      <w:tr>
        <w:tc>
          <w:tcPr>
            <w:tcW w:type="pct" w:w="70%"/>
            <w:shd w:fill="EEF0FA" w:val="clear"/>
            <w:tcMar>
              <w:top w:type="dxa" w:w="70"/>
              <w:left w:type="dxa" w:w="100"/>
              <w:bottom w:type="dxa" w:w="70"/>
              <w:right w:type="dxa" w:w="100"/>
            </w:tcMar>
          </w:tcPr>
          <w:p>
            <w:r>
              <w:rPr>
                <w:color w:val="222222"/>
                <w:sz w:val="19"/>
                <w:szCs w:val="19"/>
              </w:rPr>
              <w:t xml:space="preserve">Unit Test log (KPI values cross-checked against source data)</w:t>
            </w:r>
          </w:p>
        </w:tc>
        <w:tc>
          <w:tcPr>
            <w:tcW w:type="pct" w:w="30%"/>
            <w:shd w:fill="EEF0FA" w:val="clear"/>
            <w:tcMar>
              <w:top w:type="dxa" w:w="70"/>
              <w:left w:type="dxa" w:w="100"/>
              <w:bottom w:type="dxa" w:w="70"/>
              <w:right w:type="dxa" w:w="100"/>
            </w:tcMar>
          </w:tcPr>
          <w:p>
            <w:r>
              <w:rPr>
                <w:color w:val="222222"/>
                <w:sz w:val="19"/>
                <w:szCs w:val="19"/>
              </w:rPr>
              <w:t xml:space="preserve">Complete</w:t>
            </w:r>
          </w:p>
        </w:tc>
      </w:tr>
      <w:tr>
        <w:tc>
          <w:tcPr>
            <w:tcW w:type="pct" w:w="70%"/>
            <w:shd w:fill="FFFFFF" w:val="clear"/>
            <w:tcMar>
              <w:top w:type="dxa" w:w="70"/>
              <w:left w:type="dxa" w:w="100"/>
              <w:bottom w:type="dxa" w:w="70"/>
              <w:right w:type="dxa" w:w="100"/>
            </w:tcMar>
          </w:tcPr>
          <w:p>
            <w:r>
              <w:rPr>
                <w:color w:val="222222"/>
                <w:sz w:val="19"/>
                <w:szCs w:val="19"/>
              </w:rPr>
              <w:t xml:space="preserve">Published Tableau Public link / GitHub repository</w:t>
            </w:r>
          </w:p>
        </w:tc>
        <w:tc>
          <w:tcPr>
            <w:tcW w:type="pct" w:w="30%"/>
            <w:shd w:fill="FFFFFF" w:val="clear"/>
            <w:tcMar>
              <w:top w:type="dxa" w:w="70"/>
              <w:left w:type="dxa" w:w="100"/>
              <w:bottom w:type="dxa" w:w="70"/>
              <w:right w:type="dxa" w:w="100"/>
            </w:tcMar>
          </w:tcPr>
          <w:p>
            <w:r>
              <w:rPr>
                <w:color w:val="222222"/>
                <w:sz w:val="19"/>
                <w:szCs w:val="19"/>
              </w:rPr>
              <w:t xml:space="preserve">In progress</w:t>
            </w:r>
          </w:p>
        </w:tc>
      </w:tr>
    </w:tbl>
    <w:p>
      <w:pPr>
        <w:pStyle w:val="Heading1"/>
        <w:pBdr>
          <w:bottom w:val="single" w:color="262D79" w:sz="8" w:space="4"/>
        </w:pBdr>
        <w:spacing w:after="160" w:before="360"/>
      </w:pPr>
      <w:r>
        <w:rPr>
          <w:rFonts w:ascii="Calibri" w:cs="Calibri" w:eastAsia="Calibri" w:hAnsi="Calibri"/>
          <w:b/>
          <w:bCs/>
          <w:color w:val="262D79"/>
          <w:sz w:val="30"/>
          <w:szCs w:val="30"/>
        </w:rPr>
        <w:t xml:space="preserve">6. Sign-off</w:t>
      </w:r>
    </w:p>
    <w:tbl>
      <w:tblPr>
        <w:tblW w:type="pct" w:w="100%"/>
        <w:tblBorders>
          <w:top w:val="single" w:color="262D79" w:sz="4"/>
          <w:left w:val="single" w:color="262D79" w:sz="4"/>
          <w:bottom w:val="single" w:color="262D79" w:sz="4"/>
          <w:right w:val="single" w:color="262D79" w:sz="4"/>
          <w:insideH w:val="single" w:color="C9CDEF" w:sz="2"/>
          <w:insideV w:val="single" w:color="C9CDEF" w:sz="2"/>
        </w:tblBorders>
      </w:tblPr>
      <w:tblGrid>
        <w:gridCol w:w="100"/>
        <w:gridCol w:w="100"/>
        <w:gridCol w:w="100"/>
      </w:tblGrid>
      <w:tr>
        <w:trPr>
          <w:tblHeader/>
        </w:trPr>
        <w:tc>
          <w:tcPr>
            <w:tcW w:type="pct" w:w="50%"/>
            <w:shd w:fill="262D79" w:val="clear"/>
            <w:tcMar>
              <w:top w:type="dxa" w:w="80"/>
              <w:left w:type="dxa" w:w="100"/>
              <w:bottom w:type="dxa" w:w="80"/>
              <w:right w:type="dxa" w:w="100"/>
            </w:tcMar>
          </w:tcPr>
          <w:p>
            <w:r>
              <w:rPr>
                <w:b/>
                <w:bCs/>
                <w:color w:val="FFFFFF"/>
                <w:sz w:val="19"/>
                <w:szCs w:val="19"/>
              </w:rPr>
              <w:t xml:space="preserve">Role</w:t>
            </w:r>
          </w:p>
        </w:tc>
        <w:tc>
          <w:tcPr>
            <w:tcW w:type="pct" w:w="30%"/>
            <w:shd w:fill="262D79" w:val="clear"/>
            <w:tcMar>
              <w:top w:type="dxa" w:w="80"/>
              <w:left w:type="dxa" w:w="100"/>
              <w:bottom w:type="dxa" w:w="80"/>
              <w:right w:type="dxa" w:w="100"/>
            </w:tcMar>
          </w:tcPr>
          <w:p>
            <w:r>
              <w:rPr>
                <w:b/>
                <w:bCs/>
                <w:color w:val="FFFFFF"/>
                <w:sz w:val="19"/>
                <w:szCs w:val="19"/>
              </w:rPr>
              <w:t xml:space="preserve">Name</w:t>
            </w:r>
          </w:p>
        </w:tc>
        <w:tc>
          <w:tcPr>
            <w:tcW w:type="pct" w:w="20%"/>
            <w:shd w:fill="262D79" w:val="clear"/>
            <w:tcMar>
              <w:top w:type="dxa" w:w="80"/>
              <w:left w:type="dxa" w:w="100"/>
              <w:bottom w:type="dxa" w:w="80"/>
              <w:right w:type="dxa" w:w="100"/>
            </w:tcMar>
          </w:tcPr>
          <w:p>
            <w:r>
              <w:rPr>
                <w:b/>
                <w:bCs/>
                <w:color w:val="FFFFFF"/>
                <w:sz w:val="19"/>
                <w:szCs w:val="19"/>
              </w:rPr>
              <w:t xml:space="preserve">Date</w:t>
            </w:r>
          </w:p>
        </w:tc>
      </w:tr>
      <w:tr>
        <w:tc>
          <w:tcPr>
            <w:tcW w:type="pct" w:w="50%"/>
            <w:shd w:fill="FFFFFF" w:val="clear"/>
            <w:tcMar>
              <w:top w:type="dxa" w:w="70"/>
              <w:left w:type="dxa" w:w="100"/>
              <w:bottom w:type="dxa" w:w="70"/>
              <w:right w:type="dxa" w:w="100"/>
            </w:tcMar>
          </w:tcPr>
          <w:p>
            <w:r>
              <w:rPr>
                <w:color w:val="222222"/>
                <w:sz w:val="19"/>
                <w:szCs w:val="19"/>
              </w:rPr>
              <w:t xml:space="preserve">Prepared By (Data Analyst / BI Developer)</w:t>
            </w:r>
          </w:p>
        </w:tc>
        <w:tc>
          <w:tcPr>
            <w:tcW w:type="pct" w:w="30%"/>
            <w:shd w:fill="FFFFFF" w:val="clear"/>
            <w:tcMar>
              <w:top w:type="dxa" w:w="70"/>
              <w:left w:type="dxa" w:w="100"/>
              <w:bottom w:type="dxa" w:w="70"/>
              <w:right w:type="dxa" w:w="100"/>
            </w:tcMar>
          </w:tcPr>
          <w:p>
            <w:r>
              <w:rPr>
                <w:color w:val="222222"/>
                <w:sz w:val="19"/>
                <w:szCs w:val="19"/>
              </w:rPr>
              <w:t xml:space="preserve">Mahesh</w:t>
            </w:r>
          </w:p>
        </w:tc>
        <w:tc>
          <w:tcPr>
            <w:tcW w:type="pct" w:w="20%"/>
            <w:shd w:fill="FFFFFF" w:val="clear"/>
            <w:tcMar>
              <w:top w:type="dxa" w:w="70"/>
              <w:left w:type="dxa" w:w="100"/>
              <w:bottom w:type="dxa" w:w="70"/>
              <w:right w:type="dxa" w:w="100"/>
            </w:tcMar>
          </w:tcPr>
          <w:p>
            <w:r>
              <w:rPr>
                <w:color w:val="222222"/>
                <w:sz w:val="19"/>
                <w:szCs w:val="19"/>
              </w:rPr>
              <w:t xml:space="preserve">8 September 2026</w:t>
            </w:r>
          </w:p>
        </w:tc>
      </w:tr>
      <w:tr>
        <w:tc>
          <w:tcPr>
            <w:tcW w:type="pct" w:w="50%"/>
            <w:shd w:fill="EEF0FA" w:val="clear"/>
            <w:tcMar>
              <w:top w:type="dxa" w:w="70"/>
              <w:left w:type="dxa" w:w="100"/>
              <w:bottom w:type="dxa" w:w="70"/>
              <w:right w:type="dxa" w:w="100"/>
            </w:tcMar>
          </w:tcPr>
          <w:p>
            <w:r>
              <w:rPr>
                <w:color w:val="222222"/>
                <w:sz w:val="19"/>
                <w:szCs w:val="19"/>
              </w:rPr>
              <w:t xml:space="preserve">Reviewed By</w:t>
            </w:r>
          </w:p>
        </w:tc>
        <w:tc>
          <w:tcPr>
            <w:tcW w:type="pct" w:w="30%"/>
            <w:shd w:fill="EEF0FA" w:val="clear"/>
            <w:tcMar>
              <w:top w:type="dxa" w:w="70"/>
              <w:left w:type="dxa" w:w="100"/>
              <w:bottom w:type="dxa" w:w="70"/>
              <w:right w:type="dxa" w:w="100"/>
            </w:tcMar>
          </w:tcPr>
          <w:p>
            <w:r>
              <w:rPr>
                <w:color w:val="222222"/>
                <w:sz w:val="19"/>
                <w:szCs w:val="19"/>
              </w:rPr>
              <w:t xml:space="preserve">Self-reviewed (practice project)</w:t>
            </w:r>
          </w:p>
        </w:tc>
        <w:tc>
          <w:tcPr>
            <w:tcW w:type="pct" w:w="20%"/>
            <w:shd w:fill="EEF0FA" w:val="clear"/>
            <w:tcMar>
              <w:top w:type="dxa" w:w="70"/>
              <w:left w:type="dxa" w:w="100"/>
              <w:bottom w:type="dxa" w:w="70"/>
              <w:right w:type="dxa" w:w="100"/>
            </w:tcMar>
          </w:tcPr>
          <w:p>
            <w:r>
              <w:rPr>
                <w:color w:val="222222"/>
                <w:sz w:val="19"/>
                <w:szCs w:val="19"/>
              </w:rPr>
              <w:t xml:space="preserve">8 September 2026</w:t>
            </w:r>
          </w:p>
        </w:tc>
      </w:tr>
    </w:tbl>
    <w:sectPr>
      <w:footerReference w:type="default" r:id="rId7"/>
      <w:pgSz w:w="11906" w:h="16838" w:orient="portrait"/>
      <w:pgMar w:top="70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62D79" w:sz="4" w:space="4"/>
      </w:pBdr>
      <w:jc w:val="center"/>
    </w:pPr>
    <w:r>
      <w:rPr>
        <w:color w:val="666666"/>
        <w:sz w:val="16"/>
        <w:szCs w:val="16"/>
      </w:rPr>
      <w:t xml:space="preserve">Stakeholder Insights and Performance Dashboard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771b91ad60fbde5027036ee85a024e49f26e6e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2026-09-08T04:39:10.459Z</dcterms:created>
  <dcterms:modified xsi:type="dcterms:W3CDTF">2026-09-08T04:39:10.459Z</dcterms:modified>
</cp:coreProperties>
</file>

<file path=docProps/custom.xml><?xml version="1.0" encoding="utf-8"?>
<Properties xmlns="http://schemas.openxmlformats.org/officeDocument/2006/custom-properties" xmlns:vt="http://schemas.openxmlformats.org/officeDocument/2006/docPropsVTypes"/>
</file>