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7288" w14:textId="77777777" w:rsidR="00DA74B6" w:rsidRDefault="00000000">
      <w:pPr>
        <w:shd w:val="clear" w:color="auto" w:fill="262D79"/>
      </w:pPr>
      <w:r>
        <w:rPr>
          <w:sz w:val="2"/>
          <w:szCs w:val="2"/>
        </w:rPr>
        <w:t xml:space="preserve"> </w:t>
      </w:r>
    </w:p>
    <w:p w14:paraId="1EF587BA" w14:textId="77777777" w:rsidR="00DA74B6" w:rsidRDefault="00000000">
      <w:pPr>
        <w:shd w:val="clear" w:color="auto" w:fill="262D79"/>
        <w:spacing w:before="300" w:after="60"/>
        <w:jc w:val="center"/>
      </w:pPr>
      <w:r>
        <w:rPr>
          <w:b/>
          <w:bCs/>
          <w:color w:val="FFFFFF"/>
          <w:sz w:val="44"/>
          <w:szCs w:val="44"/>
        </w:rPr>
        <w:t>USER GUIDE</w:t>
      </w:r>
    </w:p>
    <w:p w14:paraId="4C64A683" w14:textId="77777777" w:rsidR="00DA74B6" w:rsidRDefault="00000000">
      <w:pPr>
        <w:shd w:val="clear" w:color="auto" w:fill="262D79"/>
        <w:spacing w:after="300"/>
        <w:jc w:val="center"/>
      </w:pPr>
      <w:r>
        <w:rPr>
          <w:color w:val="EEF0FA"/>
          <w:sz w:val="26"/>
          <w:szCs w:val="26"/>
        </w:rPr>
        <w:t>Stakeholder Insights and Performance Dashboard</w:t>
      </w:r>
    </w:p>
    <w:p w14:paraId="4C54D56B" w14:textId="77777777" w:rsidR="00DA74B6" w:rsidRDefault="00DA74B6">
      <w:pPr>
        <w:spacing w:after="200"/>
      </w:pPr>
    </w:p>
    <w:tbl>
      <w:tblPr>
        <w:tblW w:w="5000" w:type="pct"/>
        <w:tblBorders>
          <w:top w:val="single" w:sz="4" w:space="0" w:color="262D79"/>
          <w:left w:val="single" w:sz="4" w:space="0" w:color="262D79"/>
          <w:bottom w:val="single" w:sz="4" w:space="0" w:color="262D79"/>
          <w:right w:val="single" w:sz="4" w:space="0" w:color="262D79"/>
          <w:insideH w:val="single" w:sz="2" w:space="0" w:color="C9CDEF"/>
          <w:insideV w:val="single" w:sz="2" w:space="0" w:color="C9CD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2784"/>
        <w:gridCol w:w="1824"/>
        <w:gridCol w:w="3621"/>
      </w:tblGrid>
      <w:tr w:rsidR="00DA74B6" w14:paraId="50BB72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62D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C3DF0" w14:textId="77777777" w:rsidR="00DA74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0" w:type="auto"/>
            <w:shd w:val="clear" w:color="auto" w:fill="262D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18BF" w14:textId="77777777" w:rsidR="00DA74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Created Date</w:t>
            </w:r>
          </w:p>
        </w:tc>
        <w:tc>
          <w:tcPr>
            <w:tcW w:w="0" w:type="auto"/>
            <w:shd w:val="clear" w:color="auto" w:fill="262D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3B44" w14:textId="77777777" w:rsidR="00DA74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0" w:type="auto"/>
            <w:shd w:val="clear" w:color="auto" w:fill="262D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7E69" w14:textId="77777777" w:rsidR="00DA74B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Last Updated</w:t>
            </w:r>
          </w:p>
        </w:tc>
      </w:tr>
      <w:tr w:rsidR="00DA74B6" w14:paraId="2D14A0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E7CE7" w14:textId="77777777" w:rsidR="00DA74B6" w:rsidRDefault="00000000">
            <w:pPr>
              <w:jc w:val="center"/>
            </w:pPr>
            <w:r>
              <w:rPr>
                <w:color w:val="222222"/>
              </w:rPr>
              <w:t>Mahesh</w:t>
            </w:r>
          </w:p>
        </w:tc>
        <w:tc>
          <w:tcPr>
            <w:tcW w:w="0" w:type="auto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A9080" w14:textId="77777777" w:rsidR="00DA74B6" w:rsidRDefault="00000000">
            <w:pPr>
              <w:jc w:val="center"/>
            </w:pPr>
            <w:r>
              <w:rPr>
                <w:color w:val="222222"/>
              </w:rPr>
              <w:t>August 2026</w:t>
            </w:r>
          </w:p>
        </w:tc>
        <w:tc>
          <w:tcPr>
            <w:tcW w:w="0" w:type="auto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62529" w14:textId="77777777" w:rsidR="00DA74B6" w:rsidRDefault="00000000">
            <w:pPr>
              <w:jc w:val="center"/>
            </w:pPr>
            <w:r>
              <w:rPr>
                <w:color w:val="222222"/>
              </w:rPr>
              <w:t>1.0</w:t>
            </w:r>
          </w:p>
        </w:tc>
        <w:tc>
          <w:tcPr>
            <w:tcW w:w="0" w:type="auto"/>
            <w:shd w:val="clear" w:color="auto" w:fill="EEF0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C8B9B" w14:textId="77777777" w:rsidR="00DA74B6" w:rsidRDefault="00000000">
            <w:pPr>
              <w:jc w:val="center"/>
            </w:pPr>
            <w:r>
              <w:rPr>
                <w:color w:val="222222"/>
              </w:rPr>
              <w:t>8 September 2026</w:t>
            </w:r>
          </w:p>
        </w:tc>
      </w:tr>
    </w:tbl>
    <w:p w14:paraId="0B6BF2D0" w14:textId="77777777" w:rsidR="00DA74B6" w:rsidRDefault="00DA74B6">
      <w:pPr>
        <w:spacing w:after="260"/>
      </w:pPr>
    </w:p>
    <w:p w14:paraId="474ED5B3" w14:textId="77777777" w:rsidR="00DA74B6" w:rsidRDefault="00000000">
      <w:pPr>
        <w:pStyle w:val="Heading1"/>
        <w:pBdr>
          <w:bottom w:val="single" w:sz="8" w:space="4" w:color="262D79"/>
        </w:pBdr>
        <w:spacing w:before="360" w:after="160"/>
      </w:pPr>
      <w:r>
        <w:rPr>
          <w:b/>
          <w:bCs/>
          <w:color w:val="262D79"/>
          <w:sz w:val="30"/>
          <w:szCs w:val="30"/>
        </w:rPr>
        <w:t>1. Purpose</w:t>
      </w:r>
    </w:p>
    <w:p w14:paraId="36692073" w14:textId="77777777" w:rsidR="00DA74B6" w:rsidRDefault="00000000">
      <w:pPr>
        <w:spacing w:after="140" w:line="300" w:lineRule="auto"/>
      </w:pPr>
      <w:r>
        <w:rPr>
          <w:color w:val="222222"/>
          <w:sz w:val="21"/>
          <w:szCs w:val="21"/>
        </w:rPr>
        <w:t>This dashboard provides a consolidated view of key business metrics and data insights related to stakeholders, insurers, and policy performance. It enables a viewer to analyse premium trends, profitability, shareholding structure, and asset distribution to support data-driven decisions — built in Tableau as a hands-on BI portfolio project.</w:t>
      </w:r>
    </w:p>
    <w:p w14:paraId="7A0EAF3F" w14:textId="77777777" w:rsidR="00DA74B6" w:rsidRDefault="00000000">
      <w:pPr>
        <w:pBdr>
          <w:left w:val="single" w:sz="24" w:space="8" w:color="262D79"/>
        </w:pBdr>
        <w:shd w:val="clear" w:color="auto" w:fill="EEF0FA"/>
        <w:spacing w:before="120" w:after="200"/>
        <w:ind w:left="200"/>
      </w:pPr>
      <w:r>
        <w:rPr>
          <w:i/>
          <w:iCs/>
          <w:color w:val="1B2158"/>
        </w:rPr>
        <w:t>Project note: this is a self-directed practice project built on an illustrative BFSI/insurance dataset, using the same requirement → build → test → document workflow followed on real client engagements.</w:t>
      </w:r>
    </w:p>
    <w:p w14:paraId="2065EB11" w14:textId="02AB5547" w:rsidR="00DA74B6" w:rsidRDefault="002315E7">
      <w:pPr>
        <w:spacing w:before="200" w:after="260"/>
        <w:jc w:val="center"/>
      </w:pPr>
      <w:r>
        <w:rPr>
          <w:noProof/>
        </w:rPr>
        <w:drawing>
          <wp:inline distT="0" distB="0" distL="0" distR="0" wp14:anchorId="01F340E4" wp14:editId="78986665">
            <wp:extent cx="6417310" cy="3609975"/>
            <wp:effectExtent l="0" t="0" r="2540" b="9525"/>
            <wp:docPr id="51421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19730" name="Picture 5142197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A34D" w14:textId="77777777" w:rsidR="00DA74B6" w:rsidRDefault="00000000">
      <w:pPr>
        <w:pStyle w:val="Heading1"/>
        <w:pBdr>
          <w:bottom w:val="single" w:sz="8" w:space="4" w:color="262D79"/>
        </w:pBdr>
        <w:spacing w:before="360" w:after="160"/>
      </w:pPr>
      <w:r>
        <w:rPr>
          <w:b/>
          <w:bCs/>
          <w:color w:val="262D79"/>
          <w:sz w:val="30"/>
          <w:szCs w:val="30"/>
        </w:rPr>
        <w:t>2. Charts and Visualisations</w:t>
      </w:r>
    </w:p>
    <w:p w14:paraId="37407653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Total Value Created by Insurer: </w:t>
      </w:r>
      <w:r>
        <w:rPr>
          <w:color w:val="222222"/>
          <w:sz w:val="21"/>
          <w:szCs w:val="21"/>
        </w:rPr>
        <w:t>Compares total value created across the six insurer categories (Bancassurance Partners, Partner Branches, Broker, Corporate Agent, Employee, Lives Cover).</w:t>
      </w:r>
    </w:p>
    <w:p w14:paraId="3F080E38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Premium Over Time: </w:t>
      </w:r>
      <w:r>
        <w:rPr>
          <w:color w:val="222222"/>
          <w:sz w:val="21"/>
          <w:szCs w:val="21"/>
        </w:rPr>
        <w:t>Shows premium collected trends from 2014–2024, split by premium type (New / Renewal / Individual Rated / Single Premium).</w:t>
      </w:r>
    </w:p>
    <w:p w14:paraId="331644E6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Shareholding Distribution: </w:t>
      </w:r>
      <w:r>
        <w:rPr>
          <w:color w:val="222222"/>
          <w:sz w:val="21"/>
          <w:szCs w:val="21"/>
        </w:rPr>
        <w:t>A donut chart showing shareholding split — Retail, DII, FII, and Promoters.</w:t>
      </w:r>
    </w:p>
    <w:p w14:paraId="785DFB20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Cost Ratio vs. Profitability: </w:t>
      </w:r>
      <w:r>
        <w:rPr>
          <w:color w:val="222222"/>
          <w:sz w:val="21"/>
          <w:szCs w:val="21"/>
        </w:rPr>
        <w:t xml:space="preserve">Side-by-side bars comparing Net Worth vs. Profit After Tax against Commission Ratio, </w:t>
      </w:r>
      <w:proofErr w:type="spellStart"/>
      <w:r>
        <w:rPr>
          <w:color w:val="222222"/>
          <w:sz w:val="21"/>
          <w:szCs w:val="21"/>
        </w:rPr>
        <w:t>Opex</w:t>
      </w:r>
      <w:proofErr w:type="spellEnd"/>
      <w:r>
        <w:rPr>
          <w:color w:val="222222"/>
          <w:sz w:val="21"/>
          <w:szCs w:val="21"/>
        </w:rPr>
        <w:t xml:space="preserve"> Ratio, and Total Cost Ratio.</w:t>
      </w:r>
    </w:p>
    <w:p w14:paraId="4877F715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lastRenderedPageBreak/>
        <w:t xml:space="preserve">Profitability by City and Tenure: </w:t>
      </w:r>
      <w:r>
        <w:rPr>
          <w:color w:val="222222"/>
          <w:sz w:val="21"/>
          <w:szCs w:val="21"/>
        </w:rPr>
        <w:t>A colour-shaded crosstab of profitability count by City and Policy Tenure band.</w:t>
      </w:r>
    </w:p>
    <w:p w14:paraId="3D4EAF3B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Assets Under Management by Stakeholder: </w:t>
      </w:r>
      <w:r>
        <w:rPr>
          <w:color w:val="222222"/>
          <w:sz w:val="21"/>
          <w:szCs w:val="21"/>
        </w:rPr>
        <w:t>Shows how Assets Under Management (Equity/Debt) break down across each stakeholder group (People, Distributors, Customers, Investors, Community, Environment, Premium).</w:t>
      </w:r>
    </w:p>
    <w:p w14:paraId="0EA532AB" w14:textId="77777777" w:rsidR="00DA74B6" w:rsidRDefault="00000000">
      <w:pPr>
        <w:pStyle w:val="Heading1"/>
        <w:pBdr>
          <w:bottom w:val="single" w:sz="8" w:space="4" w:color="262D79"/>
        </w:pBdr>
        <w:spacing w:before="360" w:after="160"/>
      </w:pPr>
      <w:r>
        <w:rPr>
          <w:b/>
          <w:bCs/>
          <w:color w:val="262D79"/>
          <w:sz w:val="30"/>
          <w:szCs w:val="30"/>
        </w:rPr>
        <w:t>3. Key Performance Indicators (KPIs)</w:t>
      </w:r>
    </w:p>
    <w:tbl>
      <w:tblPr>
        <w:tblW w:w="5000" w:type="pct"/>
        <w:tblBorders>
          <w:top w:val="single" w:sz="4" w:space="0" w:color="262D79"/>
          <w:left w:val="single" w:sz="4" w:space="0" w:color="262D79"/>
          <w:bottom w:val="single" w:sz="4" w:space="0" w:color="262D79"/>
          <w:right w:val="single" w:sz="4" w:space="0" w:color="262D79"/>
          <w:insideH w:val="single" w:sz="2" w:space="0" w:color="C9CDEF"/>
          <w:insideV w:val="single" w:sz="2" w:space="0" w:color="C9CD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1514"/>
        <w:gridCol w:w="5553"/>
      </w:tblGrid>
      <w:tr w:rsidR="00DA74B6" w14:paraId="39D94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262D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5817E" w14:textId="77777777" w:rsidR="00DA74B6" w:rsidRDefault="00000000">
            <w:r>
              <w:rPr>
                <w:b/>
                <w:bCs/>
                <w:color w:val="FFFFFF"/>
                <w:sz w:val="19"/>
                <w:szCs w:val="19"/>
              </w:rPr>
              <w:t>KPI Card</w:t>
            </w:r>
          </w:p>
        </w:tc>
        <w:tc>
          <w:tcPr>
            <w:tcW w:w="750" w:type="pct"/>
            <w:shd w:val="clear" w:color="auto" w:fill="262D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5A187" w14:textId="77777777" w:rsidR="00DA74B6" w:rsidRDefault="00000000">
            <w:r>
              <w:rPr>
                <w:b/>
                <w:bCs/>
                <w:color w:val="FFFFFF"/>
                <w:sz w:val="19"/>
                <w:szCs w:val="19"/>
              </w:rPr>
              <w:t>Value Shown</w:t>
            </w:r>
          </w:p>
        </w:tc>
        <w:tc>
          <w:tcPr>
            <w:tcW w:w="2750" w:type="pct"/>
            <w:shd w:val="clear" w:color="auto" w:fill="262D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2A178" w14:textId="77777777" w:rsidR="00DA74B6" w:rsidRDefault="00000000">
            <w:r>
              <w:rPr>
                <w:b/>
                <w:bCs/>
                <w:color w:val="FFFFFF"/>
                <w:sz w:val="19"/>
                <w:szCs w:val="19"/>
              </w:rPr>
              <w:t>Underlying Logic</w:t>
            </w:r>
          </w:p>
        </w:tc>
      </w:tr>
      <w:tr w:rsidR="00DA74B6" w14:paraId="06122F2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3DA72" w14:textId="77777777" w:rsidR="00DA74B6" w:rsidRDefault="00000000">
            <w:r>
              <w:rPr>
                <w:color w:val="222222"/>
                <w:sz w:val="19"/>
                <w:szCs w:val="19"/>
              </w:rPr>
              <w:t>Total Premium</w:t>
            </w:r>
          </w:p>
        </w:tc>
        <w:tc>
          <w:tcPr>
            <w:tcW w:w="7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03915" w14:textId="77777777" w:rsidR="00DA74B6" w:rsidRDefault="00000000">
            <w:r>
              <w:rPr>
                <w:color w:val="222222"/>
                <w:sz w:val="19"/>
                <w:szCs w:val="19"/>
              </w:rPr>
              <w:t>245.9B</w:t>
            </w:r>
          </w:p>
        </w:tc>
        <w:tc>
          <w:tcPr>
            <w:tcW w:w="27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AA32A" w14:textId="77777777" w:rsidR="00DA74B6" w:rsidRDefault="00000000">
            <w:r>
              <w:rPr>
                <w:color w:val="222222"/>
                <w:sz w:val="19"/>
                <w:szCs w:val="19"/>
              </w:rPr>
              <w:t>SUM([Premium]), formatted in billions</w:t>
            </w:r>
          </w:p>
        </w:tc>
      </w:tr>
      <w:tr w:rsidR="00DA74B6" w14:paraId="5706DFB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E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74A5A" w14:textId="77777777" w:rsidR="00DA74B6" w:rsidRDefault="00000000">
            <w:r>
              <w:rPr>
                <w:color w:val="222222"/>
                <w:sz w:val="19"/>
                <w:szCs w:val="19"/>
              </w:rPr>
              <w:t>Average Age of Stakeholder</w:t>
            </w:r>
          </w:p>
        </w:tc>
        <w:tc>
          <w:tcPr>
            <w:tcW w:w="750" w:type="pct"/>
            <w:shd w:val="clear" w:color="auto" w:fill="EE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C231A" w14:textId="77777777" w:rsidR="00DA74B6" w:rsidRDefault="00000000">
            <w:r>
              <w:rPr>
                <w:color w:val="222222"/>
                <w:sz w:val="19"/>
                <w:szCs w:val="19"/>
              </w:rPr>
              <w:t>34.45</w:t>
            </w:r>
          </w:p>
        </w:tc>
        <w:tc>
          <w:tcPr>
            <w:tcW w:w="2750" w:type="pct"/>
            <w:shd w:val="clear" w:color="auto" w:fill="EE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B966F" w14:textId="77777777" w:rsidR="00DA74B6" w:rsidRDefault="00000000">
            <w:r>
              <w:rPr>
                <w:color w:val="222222"/>
                <w:sz w:val="19"/>
                <w:szCs w:val="19"/>
              </w:rPr>
              <w:t>AVG([Age])</w:t>
            </w:r>
          </w:p>
        </w:tc>
      </w:tr>
      <w:tr w:rsidR="00DA74B6" w14:paraId="222477B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13C95" w14:textId="77777777" w:rsidR="00DA74B6" w:rsidRDefault="00000000">
            <w:r>
              <w:rPr>
                <w:color w:val="222222"/>
                <w:sz w:val="19"/>
                <w:szCs w:val="19"/>
              </w:rPr>
              <w:t>Equity Value Created</w:t>
            </w:r>
          </w:p>
        </w:tc>
        <w:tc>
          <w:tcPr>
            <w:tcW w:w="7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DF672" w14:textId="77777777" w:rsidR="00DA74B6" w:rsidRDefault="00000000">
            <w:r>
              <w:rPr>
                <w:color w:val="222222"/>
                <w:sz w:val="19"/>
                <w:szCs w:val="19"/>
              </w:rPr>
              <w:t>230.8B</w:t>
            </w:r>
          </w:p>
        </w:tc>
        <w:tc>
          <w:tcPr>
            <w:tcW w:w="275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456D9" w14:textId="77777777" w:rsidR="00DA74B6" w:rsidRDefault="00000000">
            <w:r>
              <w:rPr>
                <w:color w:val="222222"/>
                <w:sz w:val="19"/>
                <w:szCs w:val="19"/>
              </w:rPr>
              <w:t>Calculated field ‘</w:t>
            </w:r>
            <w:proofErr w:type="spellStart"/>
            <w:r>
              <w:rPr>
                <w:color w:val="222222"/>
                <w:sz w:val="19"/>
                <w:szCs w:val="19"/>
              </w:rPr>
              <w:t>value_quity</w:t>
            </w:r>
            <w:proofErr w:type="spellEnd"/>
            <w:r>
              <w:rPr>
                <w:color w:val="222222"/>
                <w:sz w:val="19"/>
                <w:szCs w:val="19"/>
              </w:rPr>
              <w:t>’ — IF [Assets under management] = 'Equity' THEN [Value Created] ELSE 0 END</w:t>
            </w:r>
          </w:p>
        </w:tc>
      </w:tr>
      <w:tr w:rsidR="00DA74B6" w14:paraId="0302AA3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E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223E9" w14:textId="77777777" w:rsidR="00DA74B6" w:rsidRDefault="00000000">
            <w:r>
              <w:rPr>
                <w:color w:val="222222"/>
                <w:sz w:val="19"/>
                <w:szCs w:val="19"/>
              </w:rPr>
              <w:t>Highest Value Created by Insurer</w:t>
            </w:r>
          </w:p>
        </w:tc>
        <w:tc>
          <w:tcPr>
            <w:tcW w:w="750" w:type="pct"/>
            <w:shd w:val="clear" w:color="auto" w:fill="EE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89FD4" w14:textId="77777777" w:rsidR="00DA74B6" w:rsidRDefault="00000000">
            <w:r>
              <w:rPr>
                <w:color w:val="222222"/>
                <w:sz w:val="19"/>
                <w:szCs w:val="19"/>
              </w:rPr>
              <w:t>49.17M</w:t>
            </w:r>
          </w:p>
        </w:tc>
        <w:tc>
          <w:tcPr>
            <w:tcW w:w="2750" w:type="pct"/>
            <w:shd w:val="clear" w:color="auto" w:fill="EE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836FE" w14:textId="77777777" w:rsidR="00DA74B6" w:rsidRDefault="00000000">
            <w:proofErr w:type="gramStart"/>
            <w:r>
              <w:rPr>
                <w:color w:val="222222"/>
                <w:sz w:val="19"/>
                <w:szCs w:val="19"/>
              </w:rPr>
              <w:t>MAX(</w:t>
            </w:r>
            <w:proofErr w:type="gramEnd"/>
            <w:r>
              <w:rPr>
                <w:color w:val="222222"/>
                <w:sz w:val="19"/>
                <w:szCs w:val="19"/>
              </w:rPr>
              <w:t>[Value Created])</w:t>
            </w:r>
          </w:p>
        </w:tc>
      </w:tr>
    </w:tbl>
    <w:p w14:paraId="18487784" w14:textId="77777777" w:rsidR="00DA74B6" w:rsidRDefault="00000000">
      <w:pPr>
        <w:pStyle w:val="Heading1"/>
        <w:pBdr>
          <w:bottom w:val="single" w:sz="8" w:space="4" w:color="262D79"/>
        </w:pBdr>
        <w:spacing w:before="360" w:after="160"/>
      </w:pPr>
      <w:r>
        <w:rPr>
          <w:b/>
          <w:bCs/>
          <w:color w:val="262D79"/>
          <w:sz w:val="30"/>
          <w:szCs w:val="30"/>
        </w:rPr>
        <w:t>4. Filters</w:t>
      </w:r>
    </w:p>
    <w:p w14:paraId="2F1DC8A4" w14:textId="77777777" w:rsidR="00DA74B6" w:rsidRDefault="00000000">
      <w:pPr>
        <w:spacing w:after="140" w:line="300" w:lineRule="auto"/>
      </w:pPr>
      <w:r>
        <w:rPr>
          <w:color w:val="222222"/>
          <w:sz w:val="21"/>
          <w:szCs w:val="21"/>
        </w:rPr>
        <w:t>All filters are applied at the data-source level (Apply to Worksheets → All Using This Data Source), so a single selection updates every chart and KPI on the dashboard simultaneously.</w:t>
      </w:r>
    </w:p>
    <w:p w14:paraId="24A70336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City: </w:t>
      </w:r>
      <w:r>
        <w:rPr>
          <w:color w:val="222222"/>
          <w:sz w:val="21"/>
          <w:szCs w:val="21"/>
        </w:rPr>
        <w:t>Narrows all visuals to a selected city.</w:t>
      </w:r>
    </w:p>
    <w:p w14:paraId="3632FAF8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Stakeholder: </w:t>
      </w:r>
      <w:r>
        <w:rPr>
          <w:color w:val="222222"/>
          <w:sz w:val="21"/>
          <w:szCs w:val="21"/>
        </w:rPr>
        <w:t>Isolates a specific stakeholder group's contribution.</w:t>
      </w:r>
    </w:p>
    <w:p w14:paraId="5CD2D974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Assets Under Management: </w:t>
      </w:r>
      <w:r>
        <w:rPr>
          <w:color w:val="222222"/>
          <w:sz w:val="21"/>
          <w:szCs w:val="21"/>
        </w:rPr>
        <w:t>Splits the dashboard by Equity vs. Debt.</w:t>
      </w:r>
    </w:p>
    <w:p w14:paraId="1FED1D6C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Profitability: </w:t>
      </w:r>
      <w:r>
        <w:rPr>
          <w:color w:val="222222"/>
          <w:sz w:val="21"/>
          <w:szCs w:val="21"/>
        </w:rPr>
        <w:t>Filters by Net Worth or Profit After Tax.</w:t>
      </w:r>
    </w:p>
    <w:p w14:paraId="668E6963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Premium: </w:t>
      </w:r>
      <w:r>
        <w:rPr>
          <w:color w:val="222222"/>
          <w:sz w:val="21"/>
          <w:szCs w:val="21"/>
        </w:rPr>
        <w:t>Filters by premium category (New / Renewal / Individual / Single).</w:t>
      </w:r>
    </w:p>
    <w:p w14:paraId="006DDACD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Gender: </w:t>
      </w:r>
      <w:r>
        <w:rPr>
          <w:color w:val="222222"/>
          <w:sz w:val="21"/>
          <w:szCs w:val="21"/>
        </w:rPr>
        <w:t>Separates Male / Female stakeholder data.</w:t>
      </w:r>
    </w:p>
    <w:p w14:paraId="116FAA2A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Month, Year of Date: </w:t>
      </w:r>
      <w:r>
        <w:rPr>
          <w:color w:val="222222"/>
          <w:sz w:val="21"/>
          <w:szCs w:val="21"/>
        </w:rPr>
        <w:t>Restricts the view to a specific month/year.</w:t>
      </w:r>
    </w:p>
    <w:p w14:paraId="03DFCFE0" w14:textId="77777777" w:rsidR="00DA74B6" w:rsidRDefault="00000000">
      <w:pPr>
        <w:pStyle w:val="Heading1"/>
        <w:pBdr>
          <w:bottom w:val="single" w:sz="8" w:space="4" w:color="262D79"/>
        </w:pBdr>
        <w:spacing w:before="360" w:after="160"/>
      </w:pPr>
      <w:r>
        <w:rPr>
          <w:b/>
          <w:bCs/>
          <w:color w:val="262D79"/>
          <w:sz w:val="30"/>
          <w:szCs w:val="30"/>
        </w:rPr>
        <w:t>5. Interactivity</w:t>
      </w:r>
    </w:p>
    <w:p w14:paraId="3C366F59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Dynamic filtering: </w:t>
      </w:r>
      <w:r>
        <w:rPr>
          <w:color w:val="222222"/>
          <w:sz w:val="21"/>
          <w:szCs w:val="21"/>
        </w:rPr>
        <w:t>Selections on any filter refresh all six views and all four KPI cards at once.</w:t>
      </w:r>
    </w:p>
    <w:p w14:paraId="0F5A768D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Tooltips: </w:t>
      </w:r>
      <w:r>
        <w:rPr>
          <w:color w:val="222222"/>
          <w:sz w:val="21"/>
          <w:szCs w:val="21"/>
        </w:rPr>
        <w:t>Hovering over any mark (bar, donut segment, cell) shows the underlying value in a tooltip.</w:t>
      </w:r>
    </w:p>
    <w:p w14:paraId="1C82A67D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Clean formatting: </w:t>
      </w:r>
      <w:r>
        <w:rPr>
          <w:color w:val="222222"/>
          <w:sz w:val="21"/>
          <w:szCs w:val="21"/>
        </w:rPr>
        <w:t>Chart headers, gridlines, and colour palettes are intentionally hidden/simplified for a clean, presentation-ready look.</w:t>
      </w:r>
    </w:p>
    <w:p w14:paraId="5B39C3C7" w14:textId="77777777" w:rsidR="00DA74B6" w:rsidRDefault="00000000">
      <w:pPr>
        <w:pStyle w:val="Heading1"/>
        <w:pBdr>
          <w:bottom w:val="single" w:sz="8" w:space="4" w:color="262D79"/>
        </w:pBdr>
        <w:spacing w:before="360" w:after="160"/>
      </w:pPr>
      <w:r>
        <w:rPr>
          <w:b/>
          <w:bCs/>
          <w:color w:val="262D79"/>
          <w:sz w:val="30"/>
          <w:szCs w:val="30"/>
        </w:rPr>
        <w:t>6. Export Options</w:t>
      </w:r>
    </w:p>
    <w:p w14:paraId="5218963D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b/>
          <w:bCs/>
          <w:color w:val="1B2158"/>
          <w:sz w:val="21"/>
          <w:szCs w:val="21"/>
        </w:rPr>
        <w:t xml:space="preserve">Download PDF button: </w:t>
      </w:r>
      <w:r>
        <w:rPr>
          <w:color w:val="222222"/>
          <w:sz w:val="21"/>
          <w:szCs w:val="21"/>
        </w:rPr>
        <w:t>Located in the top-right of the dashboard header; captures the current view — including active filter selections — into a PDF.</w:t>
      </w:r>
    </w:p>
    <w:p w14:paraId="1448800C" w14:textId="77777777" w:rsidR="00DA74B6" w:rsidRDefault="00000000">
      <w:pPr>
        <w:spacing w:after="140" w:line="300" w:lineRule="auto"/>
      </w:pPr>
      <w:r>
        <w:rPr>
          <w:color w:val="222222"/>
          <w:sz w:val="21"/>
          <w:szCs w:val="21"/>
        </w:rPr>
        <w:t>Note: filter widgets themselves are not selectable inside the exported PDF (this is standard Tableau PDF-export behaviour) — the exported file is a static snapshot of the visuals and KPI values at the time of export.</w:t>
      </w:r>
    </w:p>
    <w:p w14:paraId="3C6516B0" w14:textId="77777777" w:rsidR="00DA74B6" w:rsidRDefault="00000000">
      <w:pPr>
        <w:pStyle w:val="Heading1"/>
        <w:pBdr>
          <w:bottom w:val="single" w:sz="8" w:space="4" w:color="262D79"/>
        </w:pBdr>
        <w:spacing w:before="360" w:after="160"/>
      </w:pPr>
      <w:r>
        <w:rPr>
          <w:b/>
          <w:bCs/>
          <w:color w:val="262D79"/>
          <w:sz w:val="30"/>
          <w:szCs w:val="30"/>
        </w:rPr>
        <w:t>7. User Access</w:t>
      </w:r>
    </w:p>
    <w:p w14:paraId="0D243EF9" w14:textId="77777777" w:rsidR="00DA74B6" w:rsidRDefault="00000000">
      <w:pPr>
        <w:spacing w:after="140" w:line="300" w:lineRule="auto"/>
      </w:pPr>
      <w:r>
        <w:rPr>
          <w:color w:val="222222"/>
          <w:sz w:val="21"/>
          <w:szCs w:val="21"/>
        </w:rPr>
        <w:lastRenderedPageBreak/>
        <w:t>This project is published as a single-user Tableau Public workbook for portfolio purposes, so role-based access / authentication is not implemented. In a production/enterprise deployment (e.g., Tableau Server or Tableau Cloud), this would be handled through Server permissions so that different stakeholder groups see different row-level or view-level data.</w:t>
      </w:r>
    </w:p>
    <w:p w14:paraId="4290928D" w14:textId="77777777" w:rsidR="00DA74B6" w:rsidRDefault="00000000">
      <w:pPr>
        <w:pStyle w:val="Heading1"/>
        <w:pBdr>
          <w:bottom w:val="single" w:sz="8" w:space="4" w:color="262D79"/>
        </w:pBdr>
        <w:spacing w:before="360" w:after="160"/>
      </w:pPr>
      <w:r>
        <w:rPr>
          <w:b/>
          <w:bCs/>
          <w:color w:val="262D79"/>
          <w:sz w:val="30"/>
          <w:szCs w:val="30"/>
        </w:rPr>
        <w:t>8. Usage Instructions</w:t>
      </w:r>
    </w:p>
    <w:p w14:paraId="3F52F8A0" w14:textId="77777777" w:rsidR="00DA74B6" w:rsidRDefault="00000000">
      <w:pPr>
        <w:pStyle w:val="Heading2"/>
        <w:spacing w:before="260" w:after="120"/>
      </w:pPr>
      <w:r>
        <w:rPr>
          <w:b/>
          <w:bCs/>
          <w:color w:val="1B2158"/>
          <w:sz w:val="24"/>
          <w:szCs w:val="24"/>
        </w:rPr>
        <w:t>Navigating the Dashboard</w:t>
      </w:r>
    </w:p>
    <w:p w14:paraId="6D18DDF3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1"/>
          <w:szCs w:val="21"/>
        </w:rPr>
        <w:t>Use the filter panel on the left to refine data by city, stakeholder, AUM type, profitability, premium, gender, or date.</w:t>
      </w:r>
    </w:p>
    <w:p w14:paraId="6E07AC95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1"/>
          <w:szCs w:val="21"/>
        </w:rPr>
        <w:t>Click any mark on a chart (e.g., a city row, a donut segment) to see the tooltip with exact figures.</w:t>
      </w:r>
    </w:p>
    <w:p w14:paraId="3774D354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1"/>
          <w:szCs w:val="21"/>
        </w:rPr>
        <w:t>All four KPI cards and six visuals update together — no need to refresh manually.</w:t>
      </w:r>
    </w:p>
    <w:p w14:paraId="17DC1975" w14:textId="77777777" w:rsidR="00DA74B6" w:rsidRDefault="00000000">
      <w:pPr>
        <w:pStyle w:val="Heading2"/>
        <w:spacing w:before="260" w:after="120"/>
      </w:pPr>
      <w:r>
        <w:rPr>
          <w:b/>
          <w:bCs/>
          <w:color w:val="1B2158"/>
          <w:sz w:val="24"/>
          <w:szCs w:val="24"/>
        </w:rPr>
        <w:t>Exporting the Dashboard</w:t>
      </w:r>
    </w:p>
    <w:p w14:paraId="71C94C1B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1"/>
          <w:szCs w:val="21"/>
        </w:rPr>
        <w:t>Click the Download PDF button in the top-right of the dashboard header.</w:t>
      </w:r>
    </w:p>
    <w:p w14:paraId="5279A743" w14:textId="77777777" w:rsidR="00DA74B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1"/>
          <w:szCs w:val="21"/>
        </w:rPr>
        <w:t>The exported PDF captures whatever filter combination is currently active.</w:t>
      </w:r>
    </w:p>
    <w:p w14:paraId="20128E22" w14:textId="77777777" w:rsidR="00DA74B6" w:rsidRDefault="00000000">
      <w:pPr>
        <w:pStyle w:val="Heading1"/>
        <w:pBdr>
          <w:bottom w:val="single" w:sz="8" w:space="4" w:color="262D79"/>
        </w:pBdr>
        <w:spacing w:before="360" w:after="160"/>
      </w:pPr>
      <w:r>
        <w:rPr>
          <w:b/>
          <w:bCs/>
          <w:color w:val="262D79"/>
          <w:sz w:val="30"/>
          <w:szCs w:val="30"/>
        </w:rPr>
        <w:t>9. Technical Notes (for developers/reviewers)</w:t>
      </w:r>
    </w:p>
    <w:tbl>
      <w:tblPr>
        <w:tblW w:w="5000" w:type="pct"/>
        <w:tblBorders>
          <w:top w:val="single" w:sz="4" w:space="0" w:color="262D79"/>
          <w:left w:val="single" w:sz="4" w:space="0" w:color="262D79"/>
          <w:bottom w:val="single" w:sz="4" w:space="0" w:color="262D79"/>
          <w:right w:val="single" w:sz="4" w:space="0" w:color="262D79"/>
          <w:insideH w:val="single" w:sz="2" w:space="0" w:color="C9CDEF"/>
          <w:insideV w:val="single" w:sz="2" w:space="0" w:color="C9CDE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DA74B6" w14:paraId="732394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262D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36B33" w14:textId="77777777" w:rsidR="00DA74B6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500" w:type="pct"/>
            <w:shd w:val="clear" w:color="auto" w:fill="262D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42385" w14:textId="77777777" w:rsidR="00DA74B6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DA74B6" w14:paraId="702CDE0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B0517" w14:textId="77777777" w:rsidR="00DA74B6" w:rsidRDefault="00000000">
            <w:r>
              <w:rPr>
                <w:color w:val="222222"/>
                <w:sz w:val="19"/>
                <w:szCs w:val="19"/>
              </w:rPr>
              <w:t>Tool</w:t>
            </w:r>
          </w:p>
        </w:tc>
        <w:tc>
          <w:tcPr>
            <w:tcW w:w="3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F1A33" w14:textId="77777777" w:rsidR="00DA74B6" w:rsidRDefault="00000000">
            <w:r>
              <w:rPr>
                <w:color w:val="222222"/>
                <w:sz w:val="19"/>
                <w:szCs w:val="19"/>
              </w:rPr>
              <w:t>Tableau Desktop / Public, version 2026.2</w:t>
            </w:r>
          </w:p>
        </w:tc>
      </w:tr>
      <w:tr w:rsidR="00DA74B6" w14:paraId="004B7BA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E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DD782" w14:textId="77777777" w:rsidR="00DA74B6" w:rsidRDefault="00000000">
            <w:r>
              <w:rPr>
                <w:color w:val="222222"/>
                <w:sz w:val="19"/>
                <w:szCs w:val="19"/>
              </w:rPr>
              <w:t>Data source</w:t>
            </w:r>
          </w:p>
        </w:tc>
        <w:tc>
          <w:tcPr>
            <w:tcW w:w="3500" w:type="pct"/>
            <w:shd w:val="clear" w:color="auto" w:fill="EE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1558B" w14:textId="77777777" w:rsidR="00DA74B6" w:rsidRDefault="00000000">
            <w:r>
              <w:rPr>
                <w:color w:val="222222"/>
                <w:sz w:val="19"/>
                <w:szCs w:val="19"/>
              </w:rPr>
              <w:t>Finance_record.xlsx — sheet: Finance Sheet (single flat table, no joins)</w:t>
            </w:r>
          </w:p>
        </w:tc>
      </w:tr>
      <w:tr w:rsidR="00DA74B6" w14:paraId="281DE15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2A9ED" w14:textId="77777777" w:rsidR="00DA74B6" w:rsidRDefault="00000000">
            <w:r>
              <w:rPr>
                <w:color w:val="222222"/>
                <w:sz w:val="19"/>
                <w:szCs w:val="19"/>
              </w:rPr>
              <w:t>Calculated fields</w:t>
            </w:r>
          </w:p>
        </w:tc>
        <w:tc>
          <w:tcPr>
            <w:tcW w:w="3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DCC28" w14:textId="77777777" w:rsidR="00DA74B6" w:rsidRDefault="00000000">
            <w:r>
              <w:rPr>
                <w:color w:val="222222"/>
                <w:sz w:val="19"/>
                <w:szCs w:val="19"/>
              </w:rPr>
              <w:t>‘Zero’ (= 0, used for the dual-axis donut chart) and ‘</w:t>
            </w:r>
            <w:proofErr w:type="spellStart"/>
            <w:r>
              <w:rPr>
                <w:color w:val="222222"/>
                <w:sz w:val="19"/>
                <w:szCs w:val="19"/>
              </w:rPr>
              <w:t>value_quity</w:t>
            </w:r>
            <w:proofErr w:type="spellEnd"/>
            <w:r>
              <w:rPr>
                <w:color w:val="222222"/>
                <w:sz w:val="19"/>
                <w:szCs w:val="19"/>
              </w:rPr>
              <w:t>’ (equity-only value created)</w:t>
            </w:r>
          </w:p>
        </w:tc>
      </w:tr>
      <w:tr w:rsidR="00DA74B6" w14:paraId="1E42A5F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E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A9309" w14:textId="77777777" w:rsidR="00DA74B6" w:rsidRDefault="00000000">
            <w:r>
              <w:rPr>
                <w:color w:val="222222"/>
                <w:sz w:val="19"/>
                <w:szCs w:val="19"/>
              </w:rPr>
              <w:t>Worksheets</w:t>
            </w:r>
          </w:p>
        </w:tc>
        <w:tc>
          <w:tcPr>
            <w:tcW w:w="3500" w:type="pct"/>
            <w:shd w:val="clear" w:color="auto" w:fill="EEF0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77E3C" w14:textId="77777777" w:rsidR="00DA74B6" w:rsidRDefault="00000000">
            <w:r>
              <w:rPr>
                <w:color w:val="222222"/>
                <w:sz w:val="19"/>
                <w:szCs w:val="19"/>
              </w:rPr>
              <w:t>10 sheets — 6 chart views, 4 KPI cards, plus 1 shared Filter sheet</w:t>
            </w:r>
          </w:p>
        </w:tc>
      </w:tr>
      <w:tr w:rsidR="00DA74B6" w14:paraId="78116E4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55987" w14:textId="77777777" w:rsidR="00DA74B6" w:rsidRDefault="00000000">
            <w:r>
              <w:rPr>
                <w:color w:val="222222"/>
                <w:sz w:val="19"/>
                <w:szCs w:val="19"/>
              </w:rPr>
              <w:t>Layout technique</w:t>
            </w:r>
          </w:p>
        </w:tc>
        <w:tc>
          <w:tcPr>
            <w:tcW w:w="3500" w:type="pct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892B7" w14:textId="77777777" w:rsidR="00DA74B6" w:rsidRDefault="00000000">
            <w:r>
              <w:rPr>
                <w:color w:val="222222"/>
                <w:sz w:val="19"/>
                <w:szCs w:val="19"/>
              </w:rPr>
              <w:t>Horizontal/vertical containers with “Distribute Contents Evenly” for equal sizing; padding and borders manually tuned to match the theme colour</w:t>
            </w:r>
          </w:p>
        </w:tc>
      </w:tr>
    </w:tbl>
    <w:p w14:paraId="4FC0F7BB" w14:textId="77777777" w:rsidR="00DA74B6" w:rsidRDefault="00000000">
      <w:pPr>
        <w:pStyle w:val="Heading1"/>
        <w:pBdr>
          <w:bottom w:val="single" w:sz="8" w:space="4" w:color="262D79"/>
        </w:pBdr>
        <w:spacing w:before="360" w:after="160"/>
      </w:pPr>
      <w:r>
        <w:rPr>
          <w:b/>
          <w:bCs/>
          <w:color w:val="262D79"/>
          <w:sz w:val="30"/>
          <w:szCs w:val="30"/>
        </w:rPr>
        <w:t>10. Support and Feedback</w:t>
      </w:r>
    </w:p>
    <w:p w14:paraId="38EC9BAC" w14:textId="77777777" w:rsidR="00DA74B6" w:rsidRDefault="00000000">
      <w:pPr>
        <w:spacing w:after="140" w:line="300" w:lineRule="auto"/>
      </w:pPr>
      <w:r>
        <w:rPr>
          <w:color w:val="222222"/>
          <w:sz w:val="21"/>
          <w:szCs w:val="21"/>
        </w:rPr>
        <w:t>This is an independent practice/portfolio project. For questions, suggestions, or bug reports, please open an issue on the project's GitHub repository rather than a support inbox.</w:t>
      </w:r>
    </w:p>
    <w:sectPr w:rsidR="00DA74B6">
      <w:footerReference w:type="default" r:id="rId8"/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38D50" w14:textId="77777777" w:rsidR="0080329B" w:rsidRDefault="0080329B">
      <w:r>
        <w:separator/>
      </w:r>
    </w:p>
  </w:endnote>
  <w:endnote w:type="continuationSeparator" w:id="0">
    <w:p w14:paraId="3F05811C" w14:textId="77777777" w:rsidR="0080329B" w:rsidRDefault="0080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99CD3" w14:textId="77777777" w:rsidR="00DA74B6" w:rsidRDefault="00000000">
    <w:pPr>
      <w:pBdr>
        <w:top w:val="single" w:sz="4" w:space="4" w:color="262D79"/>
      </w:pBdr>
      <w:jc w:val="center"/>
    </w:pPr>
    <w:r>
      <w:rPr>
        <w:color w:val="666666"/>
        <w:sz w:val="16"/>
        <w:szCs w:val="16"/>
      </w:rPr>
      <w:t xml:space="preserve">Stakeholder Insights and Performance </w:t>
    </w:r>
    <w:proofErr w:type="gramStart"/>
    <w:r>
      <w:rPr>
        <w:color w:val="666666"/>
        <w:sz w:val="16"/>
        <w:szCs w:val="16"/>
      </w:rPr>
      <w:t>Dashboard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315E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7D477" w14:textId="77777777" w:rsidR="0080329B" w:rsidRDefault="0080329B">
      <w:r>
        <w:separator/>
      </w:r>
    </w:p>
  </w:footnote>
  <w:footnote w:type="continuationSeparator" w:id="0">
    <w:p w14:paraId="194EB287" w14:textId="77777777" w:rsidR="0080329B" w:rsidRDefault="008032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21140"/>
    <w:multiLevelType w:val="hybridMultilevel"/>
    <w:tmpl w:val="85266582"/>
    <w:lvl w:ilvl="0" w:tplc="B64ADF56">
      <w:start w:val="1"/>
      <w:numFmt w:val="bullet"/>
      <w:lvlText w:val="●"/>
      <w:lvlJc w:val="left"/>
      <w:pPr>
        <w:ind w:left="720" w:hanging="360"/>
      </w:pPr>
    </w:lvl>
    <w:lvl w:ilvl="1" w:tplc="AA2AB09E">
      <w:start w:val="1"/>
      <w:numFmt w:val="bullet"/>
      <w:lvlText w:val="○"/>
      <w:lvlJc w:val="left"/>
      <w:pPr>
        <w:ind w:left="1440" w:hanging="360"/>
      </w:pPr>
    </w:lvl>
    <w:lvl w:ilvl="2" w:tplc="230E41EC">
      <w:start w:val="1"/>
      <w:numFmt w:val="bullet"/>
      <w:lvlText w:val="■"/>
      <w:lvlJc w:val="left"/>
      <w:pPr>
        <w:ind w:left="2160" w:hanging="360"/>
      </w:pPr>
    </w:lvl>
    <w:lvl w:ilvl="3" w:tplc="83FA6CC2">
      <w:start w:val="1"/>
      <w:numFmt w:val="bullet"/>
      <w:lvlText w:val="●"/>
      <w:lvlJc w:val="left"/>
      <w:pPr>
        <w:ind w:left="2880" w:hanging="360"/>
      </w:pPr>
    </w:lvl>
    <w:lvl w:ilvl="4" w:tplc="D35C1E6E">
      <w:start w:val="1"/>
      <w:numFmt w:val="bullet"/>
      <w:lvlText w:val="○"/>
      <w:lvlJc w:val="left"/>
      <w:pPr>
        <w:ind w:left="3600" w:hanging="360"/>
      </w:pPr>
    </w:lvl>
    <w:lvl w:ilvl="5" w:tplc="ECBA3BB4">
      <w:start w:val="1"/>
      <w:numFmt w:val="bullet"/>
      <w:lvlText w:val="■"/>
      <w:lvlJc w:val="left"/>
      <w:pPr>
        <w:ind w:left="4320" w:hanging="360"/>
      </w:pPr>
    </w:lvl>
    <w:lvl w:ilvl="6" w:tplc="C42EC63E">
      <w:start w:val="1"/>
      <w:numFmt w:val="bullet"/>
      <w:lvlText w:val="●"/>
      <w:lvlJc w:val="left"/>
      <w:pPr>
        <w:ind w:left="5040" w:hanging="360"/>
      </w:pPr>
    </w:lvl>
    <w:lvl w:ilvl="7" w:tplc="CC94E630">
      <w:start w:val="1"/>
      <w:numFmt w:val="bullet"/>
      <w:lvlText w:val="●"/>
      <w:lvlJc w:val="left"/>
      <w:pPr>
        <w:ind w:left="5760" w:hanging="360"/>
      </w:pPr>
    </w:lvl>
    <w:lvl w:ilvl="8" w:tplc="7B2006CE">
      <w:start w:val="1"/>
      <w:numFmt w:val="bullet"/>
      <w:lvlText w:val="●"/>
      <w:lvlJc w:val="left"/>
      <w:pPr>
        <w:ind w:left="6480" w:hanging="360"/>
      </w:pPr>
    </w:lvl>
  </w:abstractNum>
  <w:num w:numId="1" w16cid:durableId="385951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4B6"/>
    <w:rsid w:val="001440A3"/>
    <w:rsid w:val="002315E7"/>
    <w:rsid w:val="0080329B"/>
    <w:rsid w:val="00DA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C5C5"/>
  <w15:docId w15:val="{5841EE18-22E3-478F-BC5F-46D77AB9F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Thakare</cp:lastModifiedBy>
  <cp:revision>2</cp:revision>
  <dcterms:created xsi:type="dcterms:W3CDTF">2026-09-08T04:38:00Z</dcterms:created>
  <dcterms:modified xsi:type="dcterms:W3CDTF">2026-09-08T08:23:00Z</dcterms:modified>
</cp:coreProperties>
</file>