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6053" w14:textId="77777777" w:rsidR="004A4A66" w:rsidRDefault="00000000">
      <w:pPr>
        <w:spacing w:after="80"/>
        <w:jc w:val="center"/>
      </w:pPr>
      <w:r>
        <w:rPr>
          <w:b/>
          <w:bCs/>
          <w:color w:val="1A3A5C"/>
          <w:sz w:val="48"/>
          <w:szCs w:val="48"/>
        </w:rPr>
        <w:t>Telecom Customer Churn Analysis</w:t>
      </w:r>
    </w:p>
    <w:p w14:paraId="2D2A1337" w14:textId="77777777" w:rsidR="004A4A66" w:rsidRDefault="00000000">
      <w:pPr>
        <w:spacing w:after="80"/>
        <w:jc w:val="center"/>
      </w:pPr>
      <w:r>
        <w:rPr>
          <w:color w:val="2E75B6"/>
          <w:sz w:val="26"/>
          <w:szCs w:val="26"/>
        </w:rPr>
        <w:t>Exploratory Data Analysis | Executive Summary Report</w:t>
      </w:r>
    </w:p>
    <w:p w14:paraId="422FEE43" w14:textId="77777777" w:rsidR="004A4A66" w:rsidRDefault="00000000">
      <w:pPr>
        <w:spacing w:after="60"/>
        <w:jc w:val="center"/>
      </w:pPr>
      <w:r>
        <w:rPr>
          <w:color w:val="666666"/>
          <w:sz w:val="20"/>
          <w:szCs w:val="20"/>
        </w:rPr>
        <w:t>Dataset: Kaggle – Telco Customer Churn  |  Records: 7,043 Customers  |  Features: 21</w:t>
      </w:r>
    </w:p>
    <w:p w14:paraId="43D44C8B" w14:textId="1A516502" w:rsidR="004A4A66" w:rsidRDefault="00000000">
      <w:pPr>
        <w:spacing w:after="200"/>
        <w:jc w:val="center"/>
      </w:pPr>
      <w:r>
        <w:rPr>
          <w:color w:val="666666"/>
          <w:sz w:val="20"/>
          <w:szCs w:val="20"/>
        </w:rPr>
        <w:t xml:space="preserve">Prepared by: </w:t>
      </w:r>
      <w:r w:rsidR="00635D7A">
        <w:rPr>
          <w:color w:val="666666"/>
          <w:sz w:val="20"/>
          <w:szCs w:val="20"/>
        </w:rPr>
        <w:t>Mahesh Thakare</w:t>
      </w:r>
      <w:r>
        <w:rPr>
          <w:color w:val="666666"/>
          <w:sz w:val="20"/>
          <w:szCs w:val="20"/>
        </w:rPr>
        <w:t xml:space="preserve">  |  May 2026</w:t>
      </w:r>
    </w:p>
    <w:p w14:paraId="42893FEC" w14:textId="77777777" w:rsidR="004A4A66" w:rsidRDefault="004A4A66">
      <w:pPr>
        <w:pBdr>
          <w:bottom w:val="single" w:sz="4" w:space="1" w:color="2E75B6"/>
        </w:pBdr>
        <w:spacing w:before="80" w:after="80"/>
      </w:pPr>
    </w:p>
    <w:p w14:paraId="266608E4" w14:textId="77777777" w:rsidR="004A4A66" w:rsidRDefault="00000000">
      <w:pPr>
        <w:pStyle w:val="Heading1"/>
      </w:pPr>
      <w:r>
        <w:t>1. Project Objective</w:t>
      </w:r>
    </w:p>
    <w:p w14:paraId="336FE999" w14:textId="77777777" w:rsidR="004A4A66" w:rsidRDefault="00000000">
      <w:pPr>
        <w:spacing w:after="120"/>
      </w:pPr>
      <w:r>
        <w:t>This report presents findings from an Exploratory Data Analysis (EDA) of the Kaggle Telco Customer Churn dataset. The goal is to identify the key drivers of customer churn — the event where a customer cancels their subscription and migrates to a competitor — and to translate data patterns into actionable business recommendations for the Customer Success and Retention teams.</w:t>
      </w:r>
    </w:p>
    <w:p w14:paraId="67615318" w14:textId="77777777" w:rsidR="004A4A66" w:rsidRDefault="00000000">
      <w:pPr>
        <w:spacing w:after="120"/>
      </w:pPr>
      <w:r>
        <w:t>Customer churn directly erodes Monthly Recurring Revenue (MRR). Instead of deploying generic discounts, this analysis enables the business to deploy targeted, data-driven interventions to protect high-risk customer segments.</w:t>
      </w:r>
    </w:p>
    <w:p w14:paraId="1BBDA89F" w14:textId="77777777" w:rsidR="004A4A66" w:rsidRDefault="004A4A66">
      <w:pPr>
        <w:pBdr>
          <w:bottom w:val="single" w:sz="4" w:space="1" w:color="2E75B6"/>
        </w:pBdr>
        <w:spacing w:before="80" w:after="80"/>
      </w:pPr>
    </w:p>
    <w:p w14:paraId="55FA9AA0" w14:textId="77777777" w:rsidR="004A4A66" w:rsidRDefault="00000000">
      <w:pPr>
        <w:pStyle w:val="Heading1"/>
      </w:pPr>
      <w:r>
        <w:t>2. Dataset Overview</w:t>
      </w:r>
    </w:p>
    <w:p w14:paraId="0A0AD52E" w14:textId="77777777" w:rsidR="004A4A66" w:rsidRDefault="00000000">
      <w:pPr>
        <w:spacing w:after="120"/>
      </w:pPr>
      <w:r>
        <w:t>Source: Kaggle — Telco Customer Churn (IBM Sample Dataset)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A4A66" w14:paraId="4F24AA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EC26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4E9D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A4A66" w14:paraId="2E806C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1641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Total Customers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ACAE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7,043</w:t>
            </w:r>
          </w:p>
        </w:tc>
      </w:tr>
      <w:tr w:rsidR="004A4A66" w14:paraId="6413CA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C310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Total Features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E5B9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21 (demographic, service, billing, churn)</w:t>
            </w:r>
          </w:p>
        </w:tc>
      </w:tr>
      <w:tr w:rsidR="004A4A66" w14:paraId="0A71A2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8664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Churned Customers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9075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1,869 (26.5%)</w:t>
            </w:r>
          </w:p>
        </w:tc>
      </w:tr>
      <w:tr w:rsidR="004A4A66" w14:paraId="30927B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E7B4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Retained Customers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C9B2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5,174 (73.5%)</w:t>
            </w:r>
          </w:p>
        </w:tc>
      </w:tr>
      <w:tr w:rsidR="004A4A66" w14:paraId="04F611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C177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Average Monthly Charge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F9C7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$64.76</w:t>
            </w:r>
          </w:p>
        </w:tc>
      </w:tr>
      <w:tr w:rsidR="004A4A66" w14:paraId="6B4AA6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422E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Average Tenure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CD87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32 months</w:t>
            </w:r>
          </w:p>
        </w:tc>
      </w:tr>
      <w:tr w:rsidR="004A4A66" w14:paraId="7DBE54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3DD7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Missing / Null Values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212B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None (after TotalCharges fix)</w:t>
            </w:r>
          </w:p>
        </w:tc>
      </w:tr>
      <w:tr w:rsidR="004A4A66" w14:paraId="33FA45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347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Duplicate Records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ACA7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233DC11F" w14:textId="77777777" w:rsidR="004A4A66" w:rsidRDefault="004A4A66">
      <w:pPr>
        <w:spacing w:after="160"/>
      </w:pPr>
    </w:p>
    <w:p w14:paraId="132684F3" w14:textId="77777777" w:rsidR="004A4A66" w:rsidRDefault="00000000">
      <w:pPr>
        <w:spacing w:after="120"/>
      </w:pPr>
      <w:r>
        <w:t>Data Quality Note: The TotalCharges column contained blank spaces for new customers (tenure = 0). These were imputed with '0' before typecasting to float for numerical analysis.</w:t>
      </w:r>
    </w:p>
    <w:p w14:paraId="47C72B14" w14:textId="77777777" w:rsidR="004A4A66" w:rsidRDefault="004A4A66">
      <w:pPr>
        <w:pBdr>
          <w:bottom w:val="single" w:sz="4" w:space="1" w:color="2E75B6"/>
        </w:pBdr>
        <w:spacing w:before="80" w:after="80"/>
      </w:pPr>
    </w:p>
    <w:p w14:paraId="3ECC7F13" w14:textId="77777777" w:rsidR="004A4A66" w:rsidRDefault="00000000">
      <w:pPr>
        <w:pStyle w:val="Heading1"/>
      </w:pPr>
      <w:r>
        <w:t>3. Key Findings &amp; Insights</w:t>
      </w:r>
    </w:p>
    <w:p w14:paraId="4633C974" w14:textId="77777777" w:rsidR="004A4A66" w:rsidRDefault="00000000">
      <w:pPr>
        <w:pStyle w:val="Heading2"/>
      </w:pPr>
      <w:r>
        <w:t>3.1 Overall Churn Rate</w:t>
      </w:r>
    </w:p>
    <w:p w14:paraId="4BC440E8" w14:textId="77777777" w:rsidR="004A4A66" w:rsidRDefault="00000000">
      <w:pPr>
        <w:spacing w:after="120"/>
      </w:pPr>
      <w:r>
        <w:lastRenderedPageBreak/>
        <w:t>26.5% of customers in the dataset have churned — roughly 1 in 4. This represents a significant revenue risk and signals a structural retention problem that warrants deeper investigation.</w:t>
      </w:r>
    </w:p>
    <w:p w14:paraId="42FACEFC" w14:textId="77777777" w:rsidR="004A4A66" w:rsidRDefault="004A4A66">
      <w:pPr>
        <w:spacing w:after="100"/>
      </w:pPr>
    </w:p>
    <w:p w14:paraId="2AE3770F" w14:textId="77777777" w:rsidR="004A4A66" w:rsidRDefault="00000000">
      <w:pPr>
        <w:pStyle w:val="Heading2"/>
      </w:pPr>
      <w:r>
        <w:t>3.2 Contract Type — Strongest Retention Signal</w:t>
      </w:r>
    </w:p>
    <w:p w14:paraId="735B484C" w14:textId="77777777" w:rsidR="004A4A66" w:rsidRDefault="00000000">
      <w:pPr>
        <w:spacing w:after="120"/>
      </w:pPr>
      <w:r>
        <w:t>Contract type is the single most predictive variable for churn. Customers on flexible, commitment-free plans are far more likely to leave.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4120"/>
      </w:tblGrid>
      <w:tr w:rsidR="004A4A66" w14:paraId="63141D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8140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Contract Type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2E9F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4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5058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Implication</w:t>
            </w:r>
          </w:p>
        </w:tc>
      </w:tr>
      <w:tr w:rsidR="004A4A66" w14:paraId="096D17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24E4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Month-to-Month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F980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42%</w:t>
            </w:r>
          </w:p>
        </w:tc>
        <w:tc>
          <w:tcPr>
            <w:tcW w:w="4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5F98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Highest risk — no lock-in, can leave anytime</w:t>
            </w:r>
          </w:p>
        </w:tc>
      </w:tr>
      <w:tr w:rsidR="004A4A66" w14:paraId="610520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FA97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One-Year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45CE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11%</w:t>
            </w:r>
          </w:p>
        </w:tc>
        <w:tc>
          <w:tcPr>
            <w:tcW w:w="4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A63D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Moderate retention — commitment reduces exit</w:t>
            </w:r>
          </w:p>
        </w:tc>
      </w:tr>
      <w:tr w:rsidR="004A4A66" w14:paraId="0333F9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03ED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Two-Year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602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4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B0A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Strongest retention — highly committed customers</w:t>
            </w:r>
          </w:p>
        </w:tc>
      </w:tr>
    </w:tbl>
    <w:p w14:paraId="7BFB3C1E" w14:textId="77777777" w:rsidR="004A4A66" w:rsidRDefault="004A4A66">
      <w:pPr>
        <w:spacing w:after="120"/>
      </w:pPr>
    </w:p>
    <w:p w14:paraId="703E4D6C" w14:textId="77777777" w:rsidR="004A4A66" w:rsidRDefault="00000000">
      <w:pPr>
        <w:spacing w:after="120"/>
      </w:pPr>
      <w:r>
        <w:t>Customers on month-to-month contracts represent the majority of the customer base and also the majority of churners — making this the single highest-priority segment to address.</w:t>
      </w:r>
    </w:p>
    <w:p w14:paraId="212D2930" w14:textId="77777777" w:rsidR="004A4A66" w:rsidRDefault="00000000">
      <w:pPr>
        <w:pStyle w:val="Heading2"/>
      </w:pPr>
      <w:r>
        <w:t>3.3 Payment Method — Electronic Check Risk</w:t>
      </w:r>
    </w:p>
    <w:p w14:paraId="5C91E124" w14:textId="77777777" w:rsidR="004A4A66" w:rsidRDefault="00000000">
      <w:pPr>
        <w:spacing w:after="120"/>
      </w:pPr>
      <w:r>
        <w:t>Payment method shows a stark divide in churn behavior. Electronic check users churn at nearly 3x the rate of other payment methods.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0"/>
        <w:gridCol w:w="3680"/>
      </w:tblGrid>
      <w:tr w:rsidR="004A4A66" w14:paraId="6D0C1C07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FF96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 Method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11B4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</w:tr>
      <w:tr w:rsidR="004A4A66" w14:paraId="13D36FDA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1921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Electronic Check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BFB5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~45%</w:t>
            </w:r>
          </w:p>
        </w:tc>
      </w:tr>
      <w:tr w:rsidR="004A4A66" w14:paraId="1A894EAF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C3A8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Mailed Check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C61E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~19%</w:t>
            </w:r>
          </w:p>
        </w:tc>
      </w:tr>
      <w:tr w:rsidR="004A4A66" w14:paraId="217F7AC9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44A0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Bank Transfer (Auto)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78AE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~17%</w:t>
            </w:r>
          </w:p>
        </w:tc>
      </w:tr>
      <w:tr w:rsidR="004A4A66" w14:paraId="1F7D1114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471D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Credit Card (Auto)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F20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~15%</w:t>
            </w:r>
          </w:p>
        </w:tc>
      </w:tr>
    </w:tbl>
    <w:p w14:paraId="1C04E7C3" w14:textId="77777777" w:rsidR="004A4A66" w:rsidRDefault="004A4A66">
      <w:pPr>
        <w:spacing w:after="120"/>
      </w:pPr>
    </w:p>
    <w:p w14:paraId="033BDFDD" w14:textId="77777777" w:rsidR="004A4A66" w:rsidRDefault="00000000">
      <w:pPr>
        <w:spacing w:after="120"/>
      </w:pPr>
      <w:r>
        <w:t>Hypothesis: Electronic check users may experience more friction, payment failures, or trust concerns — contributing to dissatisfaction and churn. Automated payment methods correlate strongly with retention.</w:t>
      </w:r>
    </w:p>
    <w:p w14:paraId="2B07C15B" w14:textId="77777777" w:rsidR="004A4A66" w:rsidRDefault="00000000">
      <w:pPr>
        <w:pStyle w:val="Heading2"/>
      </w:pPr>
      <w:r>
        <w:t>3.4 Customer Tenure — The Danger Window</w:t>
      </w:r>
    </w:p>
    <w:p w14:paraId="63919002" w14:textId="77777777" w:rsidR="004A4A66" w:rsidRDefault="00000000">
      <w:pPr>
        <w:spacing w:after="120"/>
      </w:pPr>
      <w:r>
        <w:t>Tenure is a powerful predictor of future churn. The first 0–5 months represent the highest-risk 'Danger Window' for customer loss.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4120"/>
      </w:tblGrid>
      <w:tr w:rsidR="004A4A66" w14:paraId="48739F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864C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Tenure Group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0F30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4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8EC3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4A4A66" w14:paraId="3BF357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FD70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&lt; 1 year (0–12 months)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817D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~50%</w:t>
            </w:r>
          </w:p>
        </w:tc>
        <w:tc>
          <w:tcPr>
            <w:tcW w:w="4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5D0C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Critical onboarding period — highest risk</w:t>
            </w:r>
          </w:p>
        </w:tc>
      </w:tr>
      <w:tr w:rsidR="004A4A66" w14:paraId="1D25CF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7212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1–3 years (13–36 months)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CD77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~35%</w:t>
            </w:r>
          </w:p>
        </w:tc>
        <w:tc>
          <w:tcPr>
            <w:tcW w:w="4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3F86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Declining risk but still vulnerable</w:t>
            </w:r>
          </w:p>
        </w:tc>
      </w:tr>
      <w:tr w:rsidR="004A4A66" w14:paraId="47C7A2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70DE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3+ years (36+ months)</w:t>
            </w:r>
          </w:p>
        </w:tc>
        <w:tc>
          <w:tcPr>
            <w:tcW w:w="2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D695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~15%</w:t>
            </w:r>
          </w:p>
        </w:tc>
        <w:tc>
          <w:tcPr>
            <w:tcW w:w="4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D51D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Loyal segment — high lifetime value</w:t>
            </w:r>
          </w:p>
        </w:tc>
      </w:tr>
    </w:tbl>
    <w:p w14:paraId="50A6C204" w14:textId="77777777" w:rsidR="004A4A66" w:rsidRDefault="004A4A66">
      <w:pPr>
        <w:spacing w:after="120"/>
      </w:pPr>
    </w:p>
    <w:p w14:paraId="286DE979" w14:textId="77777777" w:rsidR="004A4A66" w:rsidRDefault="00000000">
      <w:pPr>
        <w:spacing w:after="120"/>
      </w:pPr>
      <w:r>
        <w:lastRenderedPageBreak/>
        <w:t>If a customer crosses the 20-month tenure threshold, retention stabilizes significantly. Early engagement programs are the highest-leverage intervention point.</w:t>
      </w:r>
    </w:p>
    <w:p w14:paraId="1BA28E84" w14:textId="77777777" w:rsidR="004A4A66" w:rsidRDefault="00000000">
      <w:pPr>
        <w:pStyle w:val="Heading2"/>
      </w:pPr>
      <w:r>
        <w:t>3.5 Internet Service — Fiber Optic Paradox</w:t>
      </w:r>
    </w:p>
    <w:p w14:paraId="46422356" w14:textId="77777777" w:rsidR="004A4A66" w:rsidRDefault="00000000">
      <w:pPr>
        <w:spacing w:after="120"/>
      </w:pPr>
      <w:r>
        <w:t>Despite Fiber Optic being the premium service tier, these customers churn more than DSL users — suggesting a gap between price expectations and perceived service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0"/>
        <w:gridCol w:w="3680"/>
      </w:tblGrid>
      <w:tr w:rsidR="004A4A66" w14:paraId="6CFE6335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7BB9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Internet Service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4E1C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</w:tr>
      <w:tr w:rsidR="004A4A66" w14:paraId="54FB40B8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DCB1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Fiber Optic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56A1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~30%</w:t>
            </w:r>
          </w:p>
        </w:tc>
      </w:tr>
      <w:tr w:rsidR="004A4A66" w14:paraId="11B60BF4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B1B4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DSL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1E94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~20%</w:t>
            </w:r>
          </w:p>
        </w:tc>
      </w:tr>
      <w:tr w:rsidR="004A4A66" w14:paraId="22D7D9C0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509B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No Internet Service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104A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~7%</w:t>
            </w:r>
          </w:p>
        </w:tc>
      </w:tr>
    </w:tbl>
    <w:p w14:paraId="4DC95FAF" w14:textId="77777777" w:rsidR="004A4A66" w:rsidRDefault="004A4A66">
      <w:pPr>
        <w:spacing w:after="120"/>
      </w:pPr>
    </w:p>
    <w:p w14:paraId="41689A9C" w14:textId="77777777" w:rsidR="004A4A66" w:rsidRDefault="00000000">
      <w:pPr>
        <w:spacing w:after="120"/>
      </w:pPr>
      <w:r>
        <w:t>Root cause analysis: Fiber Optic users who lack Tech Support or Online Security are the highest-risk cluster. They pay premium rates but encounter immediate friction without adequate support. This is the 'Ecosystem Deficit' identified in EDA.</w:t>
      </w:r>
    </w:p>
    <w:p w14:paraId="65002AEF" w14:textId="77777777" w:rsidR="004A4A66" w:rsidRDefault="00000000">
      <w:pPr>
        <w:pStyle w:val="Heading2"/>
      </w:pPr>
      <w:r>
        <w:t>3.6 Senior Citizens — High-Risk Demographic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0"/>
        <w:gridCol w:w="3680"/>
      </w:tblGrid>
      <w:tr w:rsidR="004A4A66" w14:paraId="00AADDE8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11FA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8706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</w:tr>
      <w:tr w:rsidR="004A4A66" w14:paraId="06A38327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AFF9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Senior Citizens (65+)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C11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~41.7%</w:t>
            </w:r>
          </w:p>
        </w:tc>
      </w:tr>
      <w:tr w:rsidR="004A4A66" w14:paraId="607D4496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2E2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Non-Senior Citizens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91B2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~23.6%</w:t>
            </w:r>
          </w:p>
        </w:tc>
      </w:tr>
    </w:tbl>
    <w:p w14:paraId="40BD100D" w14:textId="77777777" w:rsidR="004A4A66" w:rsidRDefault="004A4A66">
      <w:pPr>
        <w:spacing w:after="120"/>
      </w:pPr>
    </w:p>
    <w:p w14:paraId="301D893B" w14:textId="77777777" w:rsidR="004A4A66" w:rsidRDefault="00000000">
      <w:pPr>
        <w:spacing w:after="120"/>
      </w:pPr>
      <w:r>
        <w:t>Senior citizens are nearly twice as likely to churn compared to non-seniors. This demographic may face usability challenges, receive less targeted support, or be more price-sensitive — all factors that can be addressed through tailored retention programs.</w:t>
      </w:r>
    </w:p>
    <w:p w14:paraId="78267359" w14:textId="77777777" w:rsidR="004A4A66" w:rsidRDefault="00000000">
      <w:pPr>
        <w:pStyle w:val="Heading2"/>
      </w:pPr>
      <w:r>
        <w:t>3.7 Gender — No Significant Impact</w:t>
      </w:r>
    </w:p>
    <w:p w14:paraId="76241224" w14:textId="77777777" w:rsidR="004A4A66" w:rsidRDefault="00000000">
      <w:pPr>
        <w:spacing w:after="120"/>
      </w:pPr>
      <w:r>
        <w:t>Churn rates are roughly equal across male and female customers, indicating gender is not a meaningful differentiator for churn prediction. Retention efforts should not be segmented by gender.</w:t>
      </w:r>
    </w:p>
    <w:p w14:paraId="60D8F62C" w14:textId="77777777" w:rsidR="004A4A66" w:rsidRDefault="004A4A66">
      <w:pPr>
        <w:pBdr>
          <w:bottom w:val="single" w:sz="4" w:space="1" w:color="2E75B6"/>
        </w:pBdr>
        <w:spacing w:before="80" w:after="80"/>
      </w:pPr>
    </w:p>
    <w:p w14:paraId="7E68E300" w14:textId="77777777" w:rsidR="004A4A66" w:rsidRDefault="00000000">
      <w:pPr>
        <w:pStyle w:val="Heading1"/>
      </w:pPr>
      <w:r>
        <w:t>4. Summary: Churn Rates Across Key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500"/>
        <w:gridCol w:w="2200"/>
        <w:gridCol w:w="1260"/>
      </w:tblGrid>
      <w:tr w:rsidR="004A4A66" w14:paraId="48186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8238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64B3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High-Risk Segment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165F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115B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Low-Risk Segment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978B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</w:tr>
      <w:tr w:rsidR="004A4A66" w14:paraId="1323A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693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Contract Type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7B6B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Month-to-Month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7024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42%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FEBA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Two-Year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03E8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3%</w:t>
            </w:r>
          </w:p>
        </w:tc>
      </w:tr>
      <w:tr w:rsidR="004A4A66" w14:paraId="72870F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6CC1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Payment Method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0CD2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Electronic Check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8C8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45%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339A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Credit Card (Auto)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52C4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4A4A66" w14:paraId="1DBFC8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D954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Tenure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4F8B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&lt; 1 Year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7425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719B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3+ Years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09B3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4A4A66" w14:paraId="72B70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EE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Internet Service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81D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Fiber Optic (no support)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563A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BF9D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No Internet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F45B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7%</w:t>
            </w:r>
          </w:p>
        </w:tc>
      </w:tr>
      <w:tr w:rsidR="004A4A66" w14:paraId="5DF3FE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16B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Age Group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961A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Senior Citizens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088A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41.7%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463C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Non-Seniors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5D2B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23.6%</w:t>
            </w:r>
          </w:p>
        </w:tc>
      </w:tr>
    </w:tbl>
    <w:p w14:paraId="746EEAD1" w14:textId="77777777" w:rsidR="004A4A66" w:rsidRDefault="004A4A66">
      <w:pPr>
        <w:spacing w:after="200"/>
      </w:pPr>
    </w:p>
    <w:p w14:paraId="5E334BE2" w14:textId="77777777" w:rsidR="004A4A66" w:rsidRDefault="004A4A66">
      <w:pPr>
        <w:pBdr>
          <w:bottom w:val="single" w:sz="4" w:space="1" w:color="2E75B6"/>
        </w:pBdr>
        <w:spacing w:before="80" w:after="80"/>
      </w:pPr>
    </w:p>
    <w:p w14:paraId="70F315F5" w14:textId="77777777" w:rsidR="004A4A66" w:rsidRDefault="00000000">
      <w:pPr>
        <w:pStyle w:val="Heading1"/>
      </w:pPr>
      <w:r>
        <w:t>5. Strategic Recommendations</w:t>
      </w:r>
    </w:p>
    <w:p w14:paraId="389E57AF" w14:textId="77777777" w:rsidR="004A4A66" w:rsidRDefault="00000000">
      <w:pPr>
        <w:pStyle w:val="Heading2"/>
      </w:pPr>
      <w:r>
        <w:t>R1 — Promote Long-Term Contracts</w:t>
      </w:r>
    </w:p>
    <w:p w14:paraId="2D969BD5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Offer meaningful incentives (price discounts, free add-ons, priority support) to migrate month-to-month customers to 1-year or 2-year contracts.</w:t>
      </w:r>
    </w:p>
    <w:p w14:paraId="05E50A42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Target the highest-risk cohort: month-to-month users in their first 6 months of tenure.</w:t>
      </w:r>
    </w:p>
    <w:p w14:paraId="3EC72B37" w14:textId="77777777" w:rsidR="004A4A66" w:rsidRDefault="00000000">
      <w:pPr>
        <w:pStyle w:val="Heading2"/>
      </w:pPr>
      <w:r>
        <w:t>R2 — Reduce Electronic Check Dependency</w:t>
      </w:r>
    </w:p>
    <w:p w14:paraId="79D1C162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Launch targeted campaigns encouraging electronic check users to switch to auto-pay (bank transfer or credit card).</w:t>
      </w:r>
    </w:p>
    <w:p w14:paraId="7EF4B5B9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Offer a one-time bill credit or discount as an incentive to switch payment methods.</w:t>
      </w:r>
    </w:p>
    <w:p w14:paraId="0CEC746B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Investigate and resolve any friction, trust, or failure issues specific to the electronic check flow.</w:t>
      </w:r>
    </w:p>
    <w:p w14:paraId="663AEA3C" w14:textId="77777777" w:rsidR="004A4A66" w:rsidRDefault="00000000">
      <w:pPr>
        <w:pStyle w:val="Heading2"/>
      </w:pPr>
      <w:r>
        <w:t>R3 — Aggressive Early-Tenure Onboarding</w:t>
      </w:r>
    </w:p>
    <w:p w14:paraId="7D38F6EE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Design a structured 90-day onboarding journey for all new customers, with proactive check-ins at 30, 60, and 90 days.</w:t>
      </w:r>
    </w:p>
    <w:p w14:paraId="0D660153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Offer free Tech Support or Online Security trials to Fiber Optic users in their first 6 months to reduce the 'Ecosystem Deficit'.</w:t>
      </w:r>
    </w:p>
    <w:p w14:paraId="1D4D802E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Identify customers approaching the 20-month milestone and reward them to lock in long-term loyalty.</w:t>
      </w:r>
    </w:p>
    <w:p w14:paraId="413B32F0" w14:textId="77777777" w:rsidR="004A4A66" w:rsidRDefault="00000000">
      <w:pPr>
        <w:pStyle w:val="Heading2"/>
      </w:pPr>
      <w:r>
        <w:t>R4 — Fiber Optic Service Quality Audit</w:t>
      </w:r>
    </w:p>
    <w:p w14:paraId="171DECF1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Investigate root causes of dissatisfaction among Fiber Optic subscribers — particularly around service reliability, speed consistency, and support responsiveness.</w:t>
      </w:r>
    </w:p>
    <w:p w14:paraId="7217A586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Bundle Tech Support and Online Security as default inclusions for premium Fiber Optic plans.</w:t>
      </w:r>
    </w:p>
    <w:p w14:paraId="10360CEE" w14:textId="77777777" w:rsidR="004A4A66" w:rsidRDefault="00000000">
      <w:pPr>
        <w:pStyle w:val="Heading2"/>
      </w:pPr>
      <w:r>
        <w:t>R5 — Senior Citizen Retention Program</w:t>
      </w:r>
    </w:p>
    <w:p w14:paraId="049AB4B2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Create dedicated, simplified support channels (phone-first, lower wait times) for senior customers.</w:t>
      </w:r>
    </w:p>
    <w:p w14:paraId="3E12C6EA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Offer senior-specific plan benefits or pricing flexibility to reduce price-sensitivity churn.</w:t>
      </w:r>
    </w:p>
    <w:p w14:paraId="7165C5F6" w14:textId="77777777" w:rsidR="004A4A66" w:rsidRDefault="00000000">
      <w:pPr>
        <w:pStyle w:val="ListParagraph"/>
        <w:numPr>
          <w:ilvl w:val="0"/>
          <w:numId w:val="2"/>
        </w:numPr>
        <w:spacing w:after="80"/>
      </w:pPr>
      <w:r>
        <w:t>Assign dedicated account managers or wellness check-ins for senior customers on month-to-month contracts.</w:t>
      </w:r>
    </w:p>
    <w:p w14:paraId="68686F18" w14:textId="77777777" w:rsidR="004A4A66" w:rsidRDefault="004A4A66">
      <w:pPr>
        <w:pBdr>
          <w:bottom w:val="single" w:sz="4" w:space="1" w:color="2E75B6"/>
        </w:pBdr>
        <w:spacing w:before="80" w:after="80"/>
      </w:pPr>
    </w:p>
    <w:p w14:paraId="097AC7F6" w14:textId="77777777" w:rsidR="004A4A66" w:rsidRDefault="00000000">
      <w:pPr>
        <w:pStyle w:val="Heading1"/>
      </w:pPr>
      <w:r>
        <w:t>6. Tools &amp; Methodology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A4A66" w14:paraId="6251D5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CC7C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79A7" w14:textId="77777777" w:rsidR="004A4A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A4A66" w14:paraId="533788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0D40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Language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3B65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Python 3</w:t>
            </w:r>
          </w:p>
        </w:tc>
      </w:tr>
      <w:tr w:rsidR="004A4A66" w14:paraId="241B4D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E07F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Libraries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188A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Pandas, NumPy, Matplotlib, Seaborn</w:t>
            </w:r>
          </w:p>
        </w:tc>
      </w:tr>
      <w:tr w:rsidR="004A4A66" w14:paraId="78C986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2EA0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955A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Google Colab</w:t>
            </w:r>
          </w:p>
        </w:tc>
      </w:tr>
      <w:tr w:rsidR="004A4A66" w14:paraId="26F112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1A30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8452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Kaggle — Telco Customer Churn (IBM Sample)</w:t>
            </w:r>
          </w:p>
        </w:tc>
      </w:tr>
      <w:tr w:rsidR="004A4A66" w14:paraId="0EE13B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3659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Techniques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990D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Univariate Analysis, Bivariate Analysis, Crosstab Normalization, Stacked Bar Charts, Histograms, Pie Charts</w:t>
            </w:r>
          </w:p>
        </w:tc>
      </w:tr>
      <w:tr w:rsidR="004A4A66" w14:paraId="4C74DC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A4F0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AI Assistance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82B2" w14:textId="77777777" w:rsidR="004A4A66" w:rsidRDefault="00000000">
            <w:pPr>
              <w:jc w:val="center"/>
            </w:pPr>
            <w:r>
              <w:rPr>
                <w:sz w:val="20"/>
                <w:szCs w:val="20"/>
              </w:rPr>
              <w:t>Color palette selection (Gemini), Stacked % chart logic (ChatGPT)</w:t>
            </w:r>
          </w:p>
        </w:tc>
      </w:tr>
    </w:tbl>
    <w:p w14:paraId="3A2BB6F2" w14:textId="77777777" w:rsidR="004A4A66" w:rsidRDefault="004A4A66">
      <w:pPr>
        <w:spacing w:after="200"/>
      </w:pPr>
    </w:p>
    <w:p w14:paraId="3A1626EC" w14:textId="77777777" w:rsidR="004A4A66" w:rsidRDefault="004A4A66">
      <w:pPr>
        <w:pBdr>
          <w:bottom w:val="single" w:sz="4" w:space="1" w:color="2E75B6"/>
        </w:pBdr>
        <w:spacing w:before="80" w:after="80"/>
      </w:pPr>
    </w:p>
    <w:p w14:paraId="7EE010BC" w14:textId="77777777" w:rsidR="004A4A66" w:rsidRDefault="00000000">
      <w:pPr>
        <w:spacing w:before="160"/>
        <w:jc w:val="center"/>
      </w:pPr>
      <w:r>
        <w:rPr>
          <w:i/>
          <w:iCs/>
          <w:color w:val="888888"/>
          <w:sz w:val="18"/>
          <w:szCs w:val="18"/>
        </w:rPr>
        <w:t>This report was prepared as part of a personal data analytics portfolio project. Dataset: Kaggle Telco Customer Churn. All insights are derived from EDA only and do not constitute professional business advice.</w:t>
      </w:r>
    </w:p>
    <w:sectPr w:rsidR="004A4A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7C68"/>
    <w:multiLevelType w:val="hybridMultilevel"/>
    <w:tmpl w:val="0816838A"/>
    <w:lvl w:ilvl="0" w:tplc="B6684716">
      <w:start w:val="1"/>
      <w:numFmt w:val="bullet"/>
      <w:lvlText w:val="•"/>
      <w:lvlJc w:val="left"/>
      <w:pPr>
        <w:ind w:left="720" w:hanging="360"/>
      </w:pPr>
    </w:lvl>
    <w:lvl w:ilvl="1" w:tplc="962CA012">
      <w:numFmt w:val="decimal"/>
      <w:lvlText w:val=""/>
      <w:lvlJc w:val="left"/>
    </w:lvl>
    <w:lvl w:ilvl="2" w:tplc="399C9D36">
      <w:numFmt w:val="decimal"/>
      <w:lvlText w:val=""/>
      <w:lvlJc w:val="left"/>
    </w:lvl>
    <w:lvl w:ilvl="3" w:tplc="993E6954">
      <w:numFmt w:val="decimal"/>
      <w:lvlText w:val=""/>
      <w:lvlJc w:val="left"/>
    </w:lvl>
    <w:lvl w:ilvl="4" w:tplc="51E06516">
      <w:numFmt w:val="decimal"/>
      <w:lvlText w:val=""/>
      <w:lvlJc w:val="left"/>
    </w:lvl>
    <w:lvl w:ilvl="5" w:tplc="656C436E">
      <w:numFmt w:val="decimal"/>
      <w:lvlText w:val=""/>
      <w:lvlJc w:val="left"/>
    </w:lvl>
    <w:lvl w:ilvl="6" w:tplc="37FAFD42">
      <w:numFmt w:val="decimal"/>
      <w:lvlText w:val=""/>
      <w:lvlJc w:val="left"/>
    </w:lvl>
    <w:lvl w:ilvl="7" w:tplc="86BC784A">
      <w:numFmt w:val="decimal"/>
      <w:lvlText w:val=""/>
      <w:lvlJc w:val="left"/>
    </w:lvl>
    <w:lvl w:ilvl="8" w:tplc="3F54EC96">
      <w:numFmt w:val="decimal"/>
      <w:lvlText w:val=""/>
      <w:lvlJc w:val="left"/>
    </w:lvl>
  </w:abstractNum>
  <w:abstractNum w:abstractNumId="1" w15:restartNumberingAfterBreak="0">
    <w:nsid w:val="595D049B"/>
    <w:multiLevelType w:val="hybridMultilevel"/>
    <w:tmpl w:val="425E7940"/>
    <w:lvl w:ilvl="0" w:tplc="FB5A3AA4">
      <w:start w:val="1"/>
      <w:numFmt w:val="bullet"/>
      <w:lvlText w:val="●"/>
      <w:lvlJc w:val="left"/>
      <w:pPr>
        <w:ind w:left="720" w:hanging="360"/>
      </w:pPr>
    </w:lvl>
    <w:lvl w:ilvl="1" w:tplc="28942494">
      <w:start w:val="1"/>
      <w:numFmt w:val="bullet"/>
      <w:lvlText w:val="○"/>
      <w:lvlJc w:val="left"/>
      <w:pPr>
        <w:ind w:left="1440" w:hanging="360"/>
      </w:pPr>
    </w:lvl>
    <w:lvl w:ilvl="2" w:tplc="93E2A9D0">
      <w:start w:val="1"/>
      <w:numFmt w:val="bullet"/>
      <w:lvlText w:val="■"/>
      <w:lvlJc w:val="left"/>
      <w:pPr>
        <w:ind w:left="2160" w:hanging="360"/>
      </w:pPr>
    </w:lvl>
    <w:lvl w:ilvl="3" w:tplc="0B56243C">
      <w:start w:val="1"/>
      <w:numFmt w:val="bullet"/>
      <w:lvlText w:val="●"/>
      <w:lvlJc w:val="left"/>
      <w:pPr>
        <w:ind w:left="2880" w:hanging="360"/>
      </w:pPr>
    </w:lvl>
    <w:lvl w:ilvl="4" w:tplc="627A7290">
      <w:start w:val="1"/>
      <w:numFmt w:val="bullet"/>
      <w:lvlText w:val="○"/>
      <w:lvlJc w:val="left"/>
      <w:pPr>
        <w:ind w:left="3600" w:hanging="360"/>
      </w:pPr>
    </w:lvl>
    <w:lvl w:ilvl="5" w:tplc="810C3DD0">
      <w:start w:val="1"/>
      <w:numFmt w:val="bullet"/>
      <w:lvlText w:val="■"/>
      <w:lvlJc w:val="left"/>
      <w:pPr>
        <w:ind w:left="4320" w:hanging="360"/>
      </w:pPr>
    </w:lvl>
    <w:lvl w:ilvl="6" w:tplc="E6E45404">
      <w:start w:val="1"/>
      <w:numFmt w:val="bullet"/>
      <w:lvlText w:val="●"/>
      <w:lvlJc w:val="left"/>
      <w:pPr>
        <w:ind w:left="5040" w:hanging="360"/>
      </w:pPr>
    </w:lvl>
    <w:lvl w:ilvl="7" w:tplc="8A568FE2">
      <w:start w:val="1"/>
      <w:numFmt w:val="bullet"/>
      <w:lvlText w:val="●"/>
      <w:lvlJc w:val="left"/>
      <w:pPr>
        <w:ind w:left="5760" w:hanging="360"/>
      </w:pPr>
    </w:lvl>
    <w:lvl w:ilvl="8" w:tplc="7CB82940">
      <w:start w:val="1"/>
      <w:numFmt w:val="bullet"/>
      <w:lvlText w:val="●"/>
      <w:lvlJc w:val="left"/>
      <w:pPr>
        <w:ind w:left="6480" w:hanging="360"/>
      </w:pPr>
    </w:lvl>
  </w:abstractNum>
  <w:num w:numId="1" w16cid:durableId="338430898">
    <w:abstractNumId w:val="1"/>
    <w:lvlOverride w:ilvl="0">
      <w:startOverride w:val="1"/>
    </w:lvlOverride>
  </w:num>
  <w:num w:numId="2" w16cid:durableId="639191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A66"/>
    <w:rsid w:val="004A4A66"/>
    <w:rsid w:val="00577870"/>
    <w:rsid w:val="0063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A473"/>
  <w15:docId w15:val="{3E7B3853-EB91-47CA-B2DF-9E8A41E1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Thakare</cp:lastModifiedBy>
  <cp:revision>2</cp:revision>
  <dcterms:created xsi:type="dcterms:W3CDTF">2026-05-28T14:22:00Z</dcterms:created>
  <dcterms:modified xsi:type="dcterms:W3CDTF">2026-05-28T14:31:00Z</dcterms:modified>
</cp:coreProperties>
</file>