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</w:tblPr>
      <w:tblGrid>
        <w:gridCol w:w="3741"/>
        <w:gridCol w:w="8163"/>
      </w:tblGrid>
      <w:tr>
        <w:trPr>
          <w:trHeight w:val="16804" w:hRule="exact"/>
          <w:cantSplit/>
        </w:trPr>
        <w:tc>
          <w:tcPr>
            <w:tcW w:type="dxa" w:w="3741"/>
            <w:shd w:val="clear" w:color="auto" w:fill="F3F1EC"/>
            <w:tcBorders>
              <w:top w:val="nil"/>
              <w:left w:val="nil"/>
              <w:bottom w:val="nil"/>
              <w:right w:val="single" w:sz="4" w:color="DCDFE2"/>
            </w:tcBorders>
            <w:tcMar>
              <w:top w:w="737" w:type="dxa"/>
              <w:left w:w="567" w:type="dxa"/>
              <w:bottom w:w="453" w:type="dxa"/>
              <w:right w:w="340" w:type="dxa"/>
            </w:tcMar>
          </w:tcPr>
          <w:p>
            <w:pPr>
              <w:spacing w:before="0" w:after="12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48"/>
              </w:rPr>
              <w:t>Mahesh</w:t>
            </w:r>
          </w:p>
          <w:p>
            <w:pPr>
              <w:spacing w:before="0" w:after="8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0E5A5C"/>
                <w:sz w:val="48"/>
              </w:rPr>
              <w:t>Basavaraj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B8742A"/>
                <w:sz w:val="16"/>
                <w:spacing w:val="10"/>
              </w:rPr>
              <w:t>AI Researcher · Educator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Location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Bengaluru, Karnataka, India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Phone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+91 98866 42542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2">
              <w:r>
                <w:rPr>
                  <w:rFonts w:ascii="Calibri" w:hAnsi="Calibri"/>
                  <w:color w:val="16202A"/>
                  <w:sz w:val="17"/>
                </w:rPr>
                <w:t xml:space="preserve">mahesh-csds@dsatm.edu.in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3">
              <w:r>
                <w:rPr>
                  <w:rFonts w:ascii="Calibri" w:hAnsi="Calibri"/>
                  <w:color w:val="16202A"/>
                  <w:sz w:val="17"/>
                </w:rPr>
                <w:t xml:space="preserve">BMaheshbasavaraj@gmail.com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ORCID</w:t>
            </w:r>
          </w:p>
          <w:p>
            <w:pPr>
              <w:spacing w:before="0" w:after="60" w:line="276" w:lineRule="auto"/>
            </w:pPr>
            <w:hyperlink r:id="rId14">
              <w:r>
                <w:rPr>
                  <w:rFonts w:ascii="Calibri" w:hAnsi="Calibri"/>
                  <w:color w:val="16202A"/>
                  <w:sz w:val="16"/>
                </w:rPr>
                <w:t xml:space="preserve">0000-0002-2242-212X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Google Scholar</w:t>
            </w:r>
          </w:p>
          <w:p>
            <w:pPr>
              <w:spacing w:before="0" w:after="60" w:line="276" w:lineRule="auto"/>
            </w:pPr>
            <w:hyperlink r:id="rId15">
              <w:r>
                <w:rPr>
                  <w:rFonts w:ascii="Calibri" w:hAnsi="Calibri"/>
                  <w:color w:val="16202A"/>
                  <w:sz w:val="16"/>
                </w:rPr>
                <w:t xml:space="preserve">aANFb2EAAAAJ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Scopus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6"/>
              </w:rPr>
              <w:t>60345533200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Website</w:t>
            </w:r>
          </w:p>
          <w:p>
            <w:pPr>
              <w:spacing w:before="0" w:after="60" w:line="276" w:lineRule="auto"/>
            </w:pPr>
            <w:hyperlink r:id="rId16">
              <w:r>
                <w:rPr>
                  <w:rFonts w:ascii="Calibri" w:hAnsi="Calibri"/>
                  <w:color w:val="16202A"/>
                  <w:sz w:val="16"/>
                </w:rPr>
                <w:t xml:space="preserve">maheshbasavaraj.github.io</w:t>
              </w:r>
            </w:hyperlink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0"/>
              <w:gridCol w:w="1870"/>
            </w:tblGrid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11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peer-reviewed papers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4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patents &amp; applications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4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journal articles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7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conference papers</w:t>
                  </w:r>
                </w:p>
              </w:tc>
            </w:tr>
          </w:tbl>
          <w:p/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Areas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Agentic AI &amp; LLM systems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Spatio-temporal &amp; attention models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EEG &amp; brain–computer interfaces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Cognitive IoT &amp; cross-layer optimisation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Responsible AI &amp; fairness</w:t>
            </w:r>
          </w:p>
          <w:p>
            <w:pPr>
              <w:spacing w:before="0" w:after="32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Anomaly detection</w:t>
            </w:r>
          </w:p>
        </w:tc>
        <w:tc>
          <w:tcPr>
            <w:tcW w:type="dxa" w:w="8163"/>
            <w:tcMar>
              <w:top w:w="737" w:type="dxa"/>
              <w:left w:w="510" w:type="dxa"/>
              <w:bottom w:w="453" w:type="dxa"/>
              <w:right w:w="623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20" w:line="252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34"/>
              </w:rPr>
              <w:t>Research Publications &amp; Patents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B8742A"/>
                <w:sz w:val="15"/>
                <w:spacing w:val="12"/>
              </w:rPr>
              <w:t>Prepared for the Assistant Professor (Computer Science) role — UNSW Bengaluru Campus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Profile</w:t>
            </w:r>
          </w:p>
          <w:p>
            <w:pPr>
              <w:spacing w:before="0" w:after="100" w:line="288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My research asks how intelligent systems can be made reliable and useful outside the laboratory: how agentic systems built on large language models coordinate to solve multi-step problems, how deep models recover structure from noisy spatio-temporal signals, and how constrained networked devices share resources fairly. The work is deliberately applied. It has produced three utility patents and a published application, and it is shaped by eight years of building production software before I moved into academia. Current threads are the evaluation and reliability of LLM-based agents, attention architectures for EEG and motor-imagery decoding, cross-layer optimisation in heterogeneous IoT, and fairness in deployed machine-learning models.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Selected Contributions</w:t>
            </w:r>
          </w:p>
          <w:p>
            <w:pPr>
              <w:spacing w:before="0" w:after="4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Multi-scale spatio-temporal attention for motor-imagery decoding — a network combining frequency–spatial parallel attention with multi-scale temporal modelling (IEEE ICIICS 2026).</w:t>
            </w:r>
          </w:p>
          <w:p>
            <w:pPr>
              <w:spacing w:before="0" w:after="4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Lightweight multi-agent Q-learning for wireless IoT — cross-layer optimisation that balances energy across heterogeneous devices without central coordination (IEEE ICMNWC 2025).</w:t>
            </w:r>
          </w:p>
          <w:p>
            <w:pPr>
              <w:spacing w:before="0" w:after="4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Agentic LLM systems as a route to general intelligence — a collaborative multi-agent framework analysed against SayCan, ChatDev and Devin (INDJCST 2025).</w:t>
            </w:r>
          </w:p>
          <w:p>
            <w:pPr>
              <w:spacing w:before="0" w:after="4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3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Fairness in deployed models — a patented framework for bias mitigation and fairness verification in machine-learning pipelines (2026).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Journal Articles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Medical Science Educator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Comment on “Incorporating Artificial Intelligence in Qualitative Research: Exploring the Role of ChatGPT in Thematic Analysis”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Vol. 36, Issue 2, pp. 1063–1064 · 2026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4"/>
              </w:rPr>
              <w:t xml:space="preserve">DOI </w:t>
            </w:r>
            <w:hyperlink r:id="rId17">
              <w:r>
                <w:rPr>
                  <w:rFonts w:ascii="Calibri" w:hAnsi="Calibri"/>
                  <w:color w:val="0E5A5C"/>
                  <w:sz w:val="15"/>
                </w:rPr>
                <w:t xml:space="preserve">10.1007/s40670-025-02618-y</w:t>
              </w:r>
            </w:hyperlink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/>
                <w:caps w:val="0"/>
                <w:color w:val="5B6670"/>
                <w:sz w:val="15"/>
              </w:rPr>
              <w:t>with S. Banerjee, I. H. Madar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J. Neurological Sciences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Comment on “Improving care for amyotrophic lateral sclerosis with artificial intelligence and affective computing”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Vol. 486 · 2026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/>
                <w:caps w:val="0"/>
                <w:color w:val="5B6670"/>
                <w:sz w:val="15"/>
              </w:rPr>
              <w:t>with S. U. Adhyapak, P. Mishra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INDJCST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Agentic Approach in the Quest for AGI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Indian Journal of Computer Science and Technology, pp. 279–289 · 2025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4"/>
              </w:rPr>
              <w:t xml:space="preserve">DOI </w:t>
            </w:r>
            <w:hyperlink r:id="rId18">
              <w:r>
                <w:rPr>
                  <w:rFonts w:ascii="Calibri" w:hAnsi="Calibri"/>
                  <w:color w:val="0E5A5C"/>
                  <w:sz w:val="15"/>
                </w:rPr>
                <w:t xml:space="preserve">10.59256/indjcst.20250402043</w:t>
              </w:r>
            </w:hyperlink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IRJET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A Review of Deep Learning Techniques in Detection of Anomaly in Credit Card Transactions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Vol. 9, Issue 9 · 2022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Patents</w:t>
            </w:r>
          </w:p>
          <w:p>
            <w:pPr>
              <w:tabs>
                <w:tab w:pos="454" w:val="left"/>
              </w:tabs>
              <w:spacing w:before="0" w:after="0" w:line="274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1"/>
              </w:rPr>
              <w:t>01</w:t>
              <w:tab/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>A Bulk Silkworm Cocoon Inspection and Assisted Sorting Machine Using Shallow-Layer Conveyor Spreading</w:t>
            </w:r>
          </w:p>
          <w:p>
            <w:pPr>
              <w:spacing w:before="0" w:after="100" w:line="264" w:lineRule="auto"/>
              <w:ind w:left="45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tabs>
                <w:tab w:pos="454" w:val="left"/>
              </w:tabs>
              <w:spacing w:before="0" w:after="0" w:line="274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1"/>
              </w:rPr>
              <w:t>02</w:t>
              <w:tab/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>Adaptive Quality of Service Management System for Heterogeneous Internet of Things Networks</w:t>
            </w:r>
          </w:p>
          <w:p>
            <w:pPr>
              <w:spacing w:before="0" w:after="100" w:line="264" w:lineRule="auto"/>
              <w:ind w:left="45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tabs>
                <w:tab w:pos="454" w:val="left"/>
              </w:tabs>
              <w:spacing w:before="0" w:after="0" w:line="274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1"/>
              </w:rPr>
              <w:t>03</w:t>
              <w:tab/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>Ethical and Responsible AI: Bias Mitigation and Fairness in Machine Learning Models</w:t>
            </w:r>
          </w:p>
          <w:p>
            <w:pPr>
              <w:spacing w:before="0" w:after="100" w:line="264" w:lineRule="auto"/>
              <w:ind w:left="45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tabs>
                <w:tab w:pos="454" w:val="left"/>
              </w:tabs>
              <w:spacing w:before="0" w:after="0" w:line="274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1"/>
              </w:rPr>
              <w:t>04</w:t>
              <w:tab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8"/>
              </w:rPr>
              <w:t>Cloud-based Social Virtual Reality IoT Network with Device Synchronization Between Real and Virtual Worlds</w:t>
            </w:r>
          </w:p>
          <w:p>
            <w:pPr>
              <w:spacing w:before="0" w:after="100" w:line="264" w:lineRule="auto"/>
              <w:ind w:left="45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Published application 202441098998 · filed 14 Dec 2024, published 20 Dec 2024</w:t>
            </w:r>
          </w:p>
        </w:tc>
      </w:tr>
      <w:tr>
        <w:trPr>
          <w:trHeight w:val="16271" w:hRule="exact"/>
          <w:cantSplit/>
        </w:trPr>
        <w:tc>
          <w:tcPr>
            <w:tcW w:type="dxa" w:w="3741"/>
            <w:shd w:val="clear" w:color="auto" w:fill="F3F1EC"/>
            <w:tcBorders>
              <w:top w:val="nil"/>
              <w:left w:val="nil"/>
              <w:bottom w:val="nil"/>
              <w:right w:val="single" w:sz="4" w:color="DCDFE2"/>
            </w:tcBorders>
            <w:tcMar>
              <w:top w:w="737" w:type="dxa"/>
              <w:left w:w="567" w:type="dxa"/>
              <w:bottom w:w="453" w:type="dxa"/>
              <w:right w:w="340" w:type="dxa"/>
            </w:tcMar>
          </w:tcPr>
          <w:p>
            <w:pPr>
              <w:keepNext/>
              <w:spacing w:before="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Doctoral Research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Ph.D. in Computer Science &amp; Engineering, Visvesvaraya Technological University (enrolled 2023), in applied deep learning and intelligent systems. Supervised through DSATM, Bengaluru.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Training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Deep Learning — Elite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NPTEL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Blockchain Technology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NPTEL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Data Analytics with Python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NPTEL · 2024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Machine Learning &amp; NLP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Infosys Springboard FDP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Cyber Security</w:t>
            </w:r>
          </w:p>
          <w:p>
            <w:pPr>
              <w:spacing w:before="0" w:after="10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AICTE · VTU FDP · 2023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Reproducibility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Research code and teaching systems are public at </w:t>
            </w:r>
            <w:hyperlink r:id="rId19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github.com/maheshbasavaraj</w:t>
              </w:r>
            </w:hyperlink>
          </w:p>
        </w:tc>
        <w:tc>
          <w:tcPr>
            <w:tcW w:type="dxa" w:w="8163"/>
            <w:tcMar>
              <w:top w:w="737" w:type="dxa"/>
              <w:left w:w="510" w:type="dxa"/>
              <w:bottom w:w="453" w:type="dxa"/>
              <w:right w:w="623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Conference Papers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ICIICS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Multi-Scale Spatio-Temporal Network with Frequency–Spatial Parallel Attention for Motor Imagery Classification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3rd Intl. Conf. on Integrated Intelligence and Communication Systems, pp. 1–7 · May 2026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4"/>
              </w:rPr>
              <w:t xml:space="preserve">DOI </w:t>
            </w:r>
            <w:hyperlink r:id="rId20">
              <w:r>
                <w:rPr>
                  <w:rFonts w:ascii="Calibri" w:hAnsi="Calibri"/>
                  <w:color w:val="0E5A5C"/>
                  <w:sz w:val="15"/>
                </w:rPr>
                <w:t xml:space="preserve">10.1109/ICIICS67880.2026.11483407</w:t>
              </w:r>
            </w:hyperlink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/>
                <w:caps w:val="0"/>
                <w:color w:val="5B6670"/>
                <w:sz w:val="15"/>
              </w:rPr>
              <w:t>with R. A. M. Sait, B. Y. Vineetha, G. Priyadharshini, N. Sitanshu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ICIICS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Predictive Mobility-Aware Cognitive Medium Access Control for Underwater Vehicle Communication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3rd Intl. Conf. on Integrated Intelligence and Communication Systems · 2026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/>
                <w:caps w:val="0"/>
                <w:color w:val="5B6670"/>
                <w:sz w:val="15"/>
              </w:rPr>
              <w:t>with P. Maderamitla, J. Ulaganathan, G. Bindu, K. Anguraj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ICBDML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Harnessing Large Language Models for Next-Generation Artificial Intelligence Applications</w:t>
            </w:r>
          </w:p>
          <w:p>
            <w:pPr>
              <w:spacing w:before="0" w:after="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2nd Intl. Conf. on Big Data and Machine Learning · Feb 2026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/>
                <w:caps w:val="0"/>
                <w:color w:val="5B6670"/>
                <w:sz w:val="15"/>
              </w:rPr>
              <w:t>with N. Garg, S. Yangalasetty, T. Vangalapat, M. Kumari, M. Gupta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IEEE ICMNWC 2025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Lightweight Multi-Agent Q-learning Cross-Layer Optimization in Wireless IoT Networks for Balanced Energy Utilization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IEEE Intl. Conf. on Modelling, Networks and Wireless Communication · Dec 2025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ICEASD 2024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Using AI Agents Built on LLMs for Building AGI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Intl. Conf. on Engineering Advancements and Sustainable Development, JETIR Vol. 11, Issue 5 · May 2024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ICAMSnT 2023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The Alignment Problem in AI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Intl. Conf. on Advances in Modern Science and Technology · Apr 2023</w:t>
            </w:r>
          </w:p>
          <w:p>
            <w:pPr>
              <w:spacing w:before="0" w:after="0" w:line="274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ICAPCTA 2022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Evaluating OpenAI Codex for Real-World Coding</w:t>
            </w:r>
          </w:p>
          <w:p>
            <w:pPr>
              <w:spacing w:before="0" w:after="100" w:line="264" w:lineRule="auto"/>
              <w:ind w:left="57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Intl. Conf. on Advances in Parallel Computing Technologies &amp; Applications · Jan 2022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Supervision</w:t>
            </w:r>
          </w:p>
          <w:p>
            <w:pPr>
              <w:spacing w:before="0" w:after="6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Final-year capstone and project supervision since 2021 (DSATM, City Engineering College, T. John Institute of Technology), across applied machine learning, data engineering and intelligent systems. Teams are expected to produce a working artefact, a written report and a defensible evaluation — several capstones have grown out of the open-source teaching systems listed overleaf.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Communication &amp; Outreach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I write and speak about AI for a general technical audience, which keeps my research legible outside the conference circuit.</w:t>
            </w:r>
          </w:p>
          <w:p>
            <w:pPr>
              <w:spacing w:before="0" w:after="50" w:line="264" w:lineRule="auto"/>
              <w:ind w:left="193" w:hanging="193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1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The Ghost in the Feed: Inside the First AI Civilization</w:t>
              </w:r>
            </w:hyperlink>
          </w:p>
          <w:p>
            <w:pPr>
              <w:spacing w:before="0" w:after="50" w:line="264" w:lineRule="auto"/>
              <w:ind w:left="193" w:hanging="193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2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Thermodynamic Computing: Extropic’s Chip and the Path to Efficient AI</w:t>
              </w:r>
            </w:hyperlink>
          </w:p>
          <w:p>
            <w:pPr>
              <w:spacing w:before="0" w:after="50" w:line="264" w:lineRule="auto"/>
              <w:ind w:left="193" w:hanging="193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3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The Patent Paradox: AI and the Future of Intellectual Property</w:t>
              </w:r>
            </w:hyperlink>
          </w:p>
          <w:p>
            <w:pPr>
              <w:spacing w:before="0" w:after="50" w:line="264" w:lineRule="auto"/>
              <w:ind w:left="193" w:hanging="193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4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Indian Academia’s Obsolete Secret</w:t>
              </w:r>
            </w:hyperlink>
          </w:p>
          <w:p>
            <w:pPr>
              <w:spacing w:before="0" w:after="50" w:line="264" w:lineRule="auto"/>
              <w:ind w:left="193" w:hanging="193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5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Scientific Papers are DOA</w:t>
              </w:r>
            </w:hyperlink>
          </w:p>
          <w:p>
            <w:pPr>
              <w:spacing w:before="4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7"/>
              </w:rPr>
              <w:t xml:space="preserve">Video explainers on the </w:t>
            </w:r>
            <w:hyperlink r:id="rId26">
              <w:r>
                <w:rPr>
                  <w:rFonts w:ascii="Calibri" w:hAnsi="Calibri"/>
                  <w:color w:val="0E5A5C"/>
                  <w:b/>
                  <w:sz w:val="17"/>
                </w:rPr>
                <w:t xml:space="preserve">Echoes of AI</w:t>
              </w:r>
            </w:hyperlink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7"/>
              </w:rPr>
              <w:t xml:space="preserve"> YouTube channel.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Collaboration Interests</w:t>
            </w:r>
          </w:p>
          <w:p>
            <w:pPr>
              <w:spacing w:before="0" w:after="0" w:line="283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Open to joint work on agent evaluation and LLM reliability, spatio-temporal modelling for biomedical signals, QoS in large-scale IoT deployments, and applied fairness auditing — particularly with industry partners who can supply real data and deployment constraints.</w:t>
            </w:r>
          </w:p>
        </w:tc>
      </w:tr>
    </w:tbl>
    <w:p>
      <w:pPr>
        <w:spacing w:before="0" w:after="0" w:line="20" w:lineRule="exact"/>
        <w:rPr>
          <w:sz w:val="2"/>
          <w:szCs w:val="2"/>
          <w:vanish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  <w:rPr>
        <w:sz w:val="2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rPr>
        <w:sz w:val="2"/>
      </w:rPr>
    </w:pPr>
    <w:r xmlns:a="http://schemas.openxmlformats.org/drawingml/2006/main"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76000" cy="10692000"/>
          <wp:effectExtent l="0" t="0" r="0" b="0"/>
          <wp:wrapNone/>
          <wp:docPr id="99" name="SidebarStrip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76000" cy="10692000"/>
                  </a:xfrm>
                  <a:prstGeom prst="rect">
                    <a:avLst/>
                  </a:prstGeom>
                  <a:solidFill>
                    <a:srgbClr val="F3F1EC"/>
                  </a:solidFill>
                  <a:ln w="6350">
                    <a:solidFill>
                      <a:srgbClr val="DCDFE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mahesh-csds@dsatm.edu.in" TargetMode="External"/><Relationship Id="rId13" Type="http://schemas.openxmlformats.org/officeDocument/2006/relationships/hyperlink" Target="mailto:BMaheshbasavaraj@gmail.com" TargetMode="External"/><Relationship Id="rId14" Type="http://schemas.openxmlformats.org/officeDocument/2006/relationships/hyperlink" Target="https://orcid.org/0000-0002-2242-212X" TargetMode="External"/><Relationship Id="rId15" Type="http://schemas.openxmlformats.org/officeDocument/2006/relationships/hyperlink" Target="https://scholar.google.com/citations?user=aANFb2EAAAAJ" TargetMode="External"/><Relationship Id="rId16" Type="http://schemas.openxmlformats.org/officeDocument/2006/relationships/hyperlink" Target="https://maheshbasavaraj.github.io/" TargetMode="External"/><Relationship Id="rId17" Type="http://schemas.openxmlformats.org/officeDocument/2006/relationships/hyperlink" Target="https://doi.org/10.1007/s40670-025-02618-y" TargetMode="External"/><Relationship Id="rId18" Type="http://schemas.openxmlformats.org/officeDocument/2006/relationships/hyperlink" Target="https://doi.org/10.59256/indjcst.20250402043" TargetMode="External"/><Relationship Id="rId19" Type="http://schemas.openxmlformats.org/officeDocument/2006/relationships/hyperlink" Target="https://github.com/maheshbasavaraj" TargetMode="External"/><Relationship Id="rId20" Type="http://schemas.openxmlformats.org/officeDocument/2006/relationships/hyperlink" Target="https://doi.org/10.1109/ICIICS67880.2026.11483407" TargetMode="External"/><Relationship Id="rId21" Type="http://schemas.openxmlformats.org/officeDocument/2006/relationships/hyperlink" Target="https://maheshbasavaraj.substack.com/p/the-ghost-in-the-feed-inside-the" TargetMode="External"/><Relationship Id="rId22" Type="http://schemas.openxmlformats.org/officeDocument/2006/relationships/hyperlink" Target="https://maheshbasavaraj.substack.com/p/thermodynamic-computing-extropics" TargetMode="External"/><Relationship Id="rId23" Type="http://schemas.openxmlformats.org/officeDocument/2006/relationships/hyperlink" Target="https://maheshbasavaraj.substack.com/p/the-patent-paradox-ai-and-the-future" TargetMode="External"/><Relationship Id="rId24" Type="http://schemas.openxmlformats.org/officeDocument/2006/relationships/hyperlink" Target="https://maheshbasavaraj.substack.com/p/indian-academias-obsolete-secret" TargetMode="External"/><Relationship Id="rId25" Type="http://schemas.openxmlformats.org/officeDocument/2006/relationships/hyperlink" Target="https://maheshbasavaraj.substack.com/p/scientific-papers-are-doa" TargetMode="External"/><Relationship Id="rId26" Type="http://schemas.openxmlformats.org/officeDocument/2006/relationships/hyperlink" Target="https://www.youtube.com/@MaheshBasavaraj-q4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Mahesh Basavaraj — Research Publications &amp; Patents</dc:title>
  <dc:subject/>
  <dc:creator>Mahesh Basavaraj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