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Ind w:w="0" w:type="dxa"/>
      </w:tblPr>
      <w:tblGrid>
        <w:gridCol w:w="3741"/>
        <w:gridCol w:w="8163"/>
      </w:tblGrid>
      <w:tr>
        <w:trPr>
          <w:trHeight w:val="16804" w:hRule="exact"/>
          <w:cantSplit/>
        </w:trPr>
        <w:tc>
          <w:tcPr>
            <w:tcW w:type="dxa" w:w="3741"/>
            <w:shd w:val="clear" w:color="auto" w:fill="F3F1EC"/>
            <w:tcBorders>
              <w:top w:val="nil"/>
              <w:left w:val="nil"/>
              <w:bottom w:val="nil"/>
              <w:right w:val="single" w:sz="4" w:color="DCDFE2"/>
            </w:tcBorders>
            <w:tcMar>
              <w:top w:w="737" w:type="dxa"/>
              <w:left w:w="567" w:type="dxa"/>
              <w:bottom w:w="453" w:type="dxa"/>
              <w:right w:w="340" w:type="dxa"/>
            </w:tcMar>
          </w:tcPr>
          <w:p>
            <w:pPr>
              <w:spacing w:before="0" w:after="120" w:line="276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008000" cy="100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circl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000" cy="10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="228" w:lineRule="auto"/>
            </w:pPr>
            <w:r>
              <w:rPr>
                <w:rFonts w:ascii="Georgia" w:hAnsi="Georgia" w:eastAsia="Georgia"/>
                <w:b/>
                <w:i w:val="0"/>
                <w:caps w:val="0"/>
                <w:color w:val="16202A"/>
                <w:sz w:val="48"/>
              </w:rPr>
              <w:t>Mahesh</w:t>
            </w:r>
          </w:p>
          <w:p>
            <w:pPr>
              <w:spacing w:before="0" w:after="80" w:line="228" w:lineRule="auto"/>
            </w:pPr>
            <w:r>
              <w:rPr>
                <w:rFonts w:ascii="Georgia" w:hAnsi="Georgia" w:eastAsia="Georgia"/>
                <w:b/>
                <w:i w:val="0"/>
                <w:caps w:val="0"/>
                <w:color w:val="0E5A5C"/>
                <w:sz w:val="48"/>
              </w:rPr>
              <w:t>Basavaraj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/>
                <w:i w:val="0"/>
                <w:caps/>
                <w:color w:val="B8742A"/>
                <w:sz w:val="16"/>
                <w:spacing w:val="10"/>
              </w:rPr>
              <w:t>AI Researcher · Educator</w:t>
            </w:r>
          </w:p>
          <w:p>
            <w:pPr>
              <w:keepNext/>
              <w:spacing w:before="200" w:after="80" w:line="276" w:lineRule="auto"/>
              <w:pBdr>
                <w:bottom w:val="single" w:sz="4" w:space="1" w:color="DCDFE2"/>
              </w:pBdr>
            </w:pPr>
            <w:r>
              <w:rPr>
                <w:rFonts w:ascii="Calibri" w:hAnsi="Calibri" w:eastAsia="Calibri"/>
                <w:b/>
                <w:i w:val="0"/>
                <w:caps/>
                <w:color w:val="0E5A5C"/>
                <w:sz w:val="16"/>
                <w:spacing w:val="40"/>
              </w:rPr>
              <w:t>Contact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i w:val="0"/>
                <w:caps/>
                <w:color w:val="5B6670"/>
                <w:sz w:val="13"/>
                <w:spacing w:val="20"/>
              </w:rPr>
              <w:t>Location</w:t>
            </w:r>
          </w:p>
          <w:p>
            <w:pPr>
              <w:spacing w:before="0" w:after="60" w:line="276" w:lineRule="auto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16202A"/>
                <w:sz w:val="17"/>
              </w:rPr>
              <w:t>Bengaluru, Karnataka, India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i w:val="0"/>
                <w:caps/>
                <w:color w:val="5B6670"/>
                <w:sz w:val="13"/>
                <w:spacing w:val="20"/>
              </w:rPr>
              <w:t>Phone</w:t>
            </w:r>
          </w:p>
          <w:p>
            <w:pPr>
              <w:spacing w:before="0" w:after="60" w:line="276" w:lineRule="auto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16202A"/>
                <w:sz w:val="17"/>
              </w:rPr>
              <w:t>+91 98866 42542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i w:val="0"/>
                <w:caps/>
                <w:color w:val="5B6670"/>
                <w:sz w:val="13"/>
                <w:spacing w:val="20"/>
              </w:rPr>
              <w:t>Email</w:t>
            </w:r>
          </w:p>
          <w:p>
            <w:pPr>
              <w:spacing w:before="0" w:after="60" w:line="276" w:lineRule="auto"/>
            </w:pPr>
            <w:hyperlink r:id="rId12">
              <w:r>
                <w:rPr>
                  <w:rFonts w:ascii="Calibri" w:hAnsi="Calibri"/>
                  <w:color w:val="16202A"/>
                  <w:sz w:val="17"/>
                </w:rPr>
                <w:t xml:space="preserve">mahesh-csds@dsatm.edu.in</w:t>
              </w:r>
            </w:hyperlink>
          </w:p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i w:val="0"/>
                <w:caps/>
                <w:color w:val="5B6670"/>
                <w:sz w:val="13"/>
                <w:spacing w:val="20"/>
              </w:rPr>
              <w:t>Email</w:t>
            </w:r>
          </w:p>
          <w:p>
            <w:pPr>
              <w:spacing w:before="0" w:after="60" w:line="276" w:lineRule="auto"/>
            </w:pPr>
            <w:hyperlink r:id="rId13">
              <w:r>
                <w:rPr>
                  <w:rFonts w:ascii="Calibri" w:hAnsi="Calibri"/>
                  <w:color w:val="16202A"/>
                  <w:sz w:val="17"/>
                </w:rPr>
                <w:t xml:space="preserve">BMaheshbasavaraj@gmail.com</w:t>
              </w:r>
            </w:hyperlink>
          </w:p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i w:val="0"/>
                <w:caps/>
                <w:color w:val="5B6670"/>
                <w:sz w:val="13"/>
                <w:spacing w:val="20"/>
              </w:rPr>
              <w:t>ORCID</w:t>
            </w:r>
          </w:p>
          <w:p>
            <w:pPr>
              <w:spacing w:before="0" w:after="60" w:line="276" w:lineRule="auto"/>
            </w:pPr>
            <w:hyperlink r:id="rId14">
              <w:r>
                <w:rPr>
                  <w:rFonts w:ascii="Calibri" w:hAnsi="Calibri"/>
                  <w:color w:val="16202A"/>
                  <w:sz w:val="16"/>
                </w:rPr>
                <w:t xml:space="preserve">0000-0002-2242-212X</w:t>
              </w:r>
            </w:hyperlink>
          </w:p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i w:val="0"/>
                <w:caps/>
                <w:color w:val="5B6670"/>
                <w:sz w:val="13"/>
                <w:spacing w:val="20"/>
              </w:rPr>
              <w:t>Google Scholar</w:t>
            </w:r>
          </w:p>
          <w:p>
            <w:pPr>
              <w:spacing w:before="0" w:after="60" w:line="276" w:lineRule="auto"/>
            </w:pPr>
            <w:hyperlink r:id="rId15">
              <w:r>
                <w:rPr>
                  <w:rFonts w:ascii="Calibri" w:hAnsi="Calibri"/>
                  <w:color w:val="16202A"/>
                  <w:sz w:val="16"/>
                </w:rPr>
                <w:t xml:space="preserve">aANFb2EAAAAJ</w:t>
              </w:r>
            </w:hyperlink>
          </w:p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i w:val="0"/>
                <w:caps/>
                <w:color w:val="5B6670"/>
                <w:sz w:val="13"/>
                <w:spacing w:val="20"/>
              </w:rPr>
              <w:t>Scopus</w:t>
            </w:r>
          </w:p>
          <w:p>
            <w:pPr>
              <w:spacing w:before="0" w:after="60" w:line="276" w:lineRule="auto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16202A"/>
                <w:sz w:val="16"/>
              </w:rPr>
              <w:t>60345533200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i w:val="0"/>
                <w:caps/>
                <w:color w:val="5B6670"/>
                <w:sz w:val="13"/>
                <w:spacing w:val="20"/>
              </w:rPr>
              <w:t>Website</w:t>
            </w:r>
          </w:p>
          <w:p>
            <w:pPr>
              <w:spacing w:before="0" w:after="60" w:line="276" w:lineRule="auto"/>
            </w:pPr>
            <w:hyperlink r:id="rId16">
              <w:r>
                <w:rPr>
                  <w:rFonts w:ascii="Calibri" w:hAnsi="Calibri"/>
                  <w:color w:val="16202A"/>
                  <w:sz w:val="16"/>
                </w:rPr>
                <w:t xml:space="preserve">maheshbasavaraj.github.io</w:t>
              </w:r>
            </w:hyperlink>
          </w:p>
          <w:p>
            <w:pPr>
              <w:keepNext/>
              <w:spacing w:before="200" w:after="80" w:line="276" w:lineRule="auto"/>
              <w:pBdr>
                <w:bottom w:val="single" w:sz="4" w:space="1" w:color="DCDFE2"/>
              </w:pBdr>
            </w:pPr>
            <w:r>
              <w:rPr>
                <w:rFonts w:ascii="Calibri" w:hAnsi="Calibri" w:eastAsia="Calibri"/>
                <w:b/>
                <w:i w:val="0"/>
                <w:caps/>
                <w:color w:val="0E5A5C"/>
                <w:sz w:val="16"/>
                <w:spacing w:val="40"/>
              </w:rPr>
              <w:t>At a glance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870"/>
              <w:gridCol w:w="1870"/>
            </w:tblGrid>
            <w:tr>
              <w:tc>
                <w:tcPr>
                  <w:tcW w:type="dxa" w:w="141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Georgia" w:hAnsi="Georgia" w:eastAsia="Georgia"/>
                      <w:b/>
                      <w:i w:val="0"/>
                      <w:caps w:val="0"/>
                      <w:color w:val="0E5A5C"/>
                      <w:sz w:val="32"/>
                    </w:rPr>
                    <w:t>11</w:t>
                  </w:r>
                </w:p>
                <w:p>
                  <w:pPr>
                    <w:spacing w:before="0" w:after="8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aps w:val="0"/>
                      <w:color w:val="5B6670"/>
                      <w:sz w:val="14"/>
                    </w:rPr>
                    <w:t>peer-reviewed papers</w:t>
                  </w:r>
                </w:p>
              </w:tc>
              <w:tc>
                <w:tcPr>
                  <w:tcW w:type="dxa" w:w="141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Georgia" w:hAnsi="Georgia" w:eastAsia="Georgia"/>
                      <w:b/>
                      <w:i w:val="0"/>
                      <w:caps w:val="0"/>
                      <w:color w:val="0E5A5C"/>
                      <w:sz w:val="32"/>
                    </w:rPr>
                    <w:t>4</w:t>
                  </w:r>
                </w:p>
                <w:p>
                  <w:pPr>
                    <w:spacing w:before="0" w:after="8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aps w:val="0"/>
                      <w:color w:val="5B6670"/>
                      <w:sz w:val="14"/>
                    </w:rPr>
                    <w:t>patents &amp; applications</w:t>
                  </w:r>
                </w:p>
              </w:tc>
            </w:tr>
            <w:tr>
              <w:tc>
                <w:tcPr>
                  <w:tcW w:type="dxa" w:w="141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Georgia" w:hAnsi="Georgia" w:eastAsia="Georgia"/>
                      <w:b/>
                      <w:i w:val="0"/>
                      <w:caps w:val="0"/>
                      <w:color w:val="0E5A5C"/>
                      <w:sz w:val="32"/>
                    </w:rPr>
                    <w:t>4</w:t>
                  </w:r>
                </w:p>
                <w:p>
                  <w:pPr>
                    <w:spacing w:before="0" w:after="8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aps w:val="0"/>
                      <w:color w:val="5B6670"/>
                      <w:sz w:val="14"/>
                    </w:rPr>
                    <w:t>journal articles</w:t>
                  </w:r>
                </w:p>
              </w:tc>
              <w:tc>
                <w:tcPr>
                  <w:tcW w:type="dxa" w:w="141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Georgia" w:hAnsi="Georgia" w:eastAsia="Georgia"/>
                      <w:b/>
                      <w:i w:val="0"/>
                      <w:caps w:val="0"/>
                      <w:color w:val="0E5A5C"/>
                      <w:sz w:val="32"/>
                    </w:rPr>
                    <w:t>7</w:t>
                  </w:r>
                </w:p>
                <w:p>
                  <w:pPr>
                    <w:spacing w:before="0" w:after="80" w:line="240" w:lineRule="auto"/>
                  </w:pPr>
                  <w:r>
                    <w:rPr>
                      <w:rFonts w:ascii="Calibri" w:hAnsi="Calibri" w:eastAsia="Calibri"/>
                      <w:b w:val="0"/>
                      <w:i w:val="0"/>
                      <w:caps w:val="0"/>
                      <w:color w:val="5B6670"/>
                      <w:sz w:val="14"/>
                    </w:rPr>
                    <w:t>conference papers</w:t>
                  </w:r>
                </w:p>
              </w:tc>
            </w:tr>
          </w:tbl>
          <w:p/>
          <w:p>
            <w:pPr>
              <w:keepNext/>
              <w:spacing w:before="200" w:after="80" w:line="276" w:lineRule="auto"/>
              <w:pBdr>
                <w:bottom w:val="single" w:sz="4" w:space="1" w:color="DCDFE2"/>
              </w:pBdr>
            </w:pPr>
            <w:r>
              <w:rPr>
                <w:rFonts w:ascii="Calibri" w:hAnsi="Calibri" w:eastAsia="Calibri"/>
                <w:b/>
                <w:i w:val="0"/>
                <w:caps/>
                <w:color w:val="0E5A5C"/>
                <w:sz w:val="16"/>
                <w:spacing w:val="40"/>
              </w:rPr>
              <w:t>Research Areas</w:t>
            </w:r>
          </w:p>
          <w:p>
            <w:pPr>
              <w:spacing w:before="0" w:after="32" w:line="264" w:lineRule="auto"/>
              <w:ind w:left="170" w:hanging="170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B8742A"/>
                <w:sz w:val="13"/>
              </w:rPr>
              <w:t xml:space="preserve">▪ </w:t>
            </w:r>
            <w:r>
              <w:rPr>
                <w:rFonts w:ascii="Calibri" w:hAnsi="Calibri" w:eastAsia="Calibri"/>
                <w:b w:val="0"/>
                <w:i w:val="0"/>
                <w:caps w:val="0"/>
                <w:color w:val="333F4A"/>
                <w:sz w:val="16"/>
              </w:rPr>
              <w:t>Agentic AI &amp; LLM systems</w:t>
            </w:r>
          </w:p>
          <w:p>
            <w:pPr>
              <w:spacing w:before="0" w:after="32" w:line="264" w:lineRule="auto"/>
              <w:ind w:left="170" w:hanging="170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B8742A"/>
                <w:sz w:val="13"/>
              </w:rPr>
              <w:t xml:space="preserve">▪ </w:t>
            </w:r>
            <w:r>
              <w:rPr>
                <w:rFonts w:ascii="Calibri" w:hAnsi="Calibri" w:eastAsia="Calibri"/>
                <w:b w:val="0"/>
                <w:i w:val="0"/>
                <w:caps w:val="0"/>
                <w:color w:val="333F4A"/>
                <w:sz w:val="16"/>
              </w:rPr>
              <w:t>Spatio-temporal &amp; attention models</w:t>
            </w:r>
          </w:p>
          <w:p>
            <w:pPr>
              <w:spacing w:before="0" w:after="32" w:line="264" w:lineRule="auto"/>
              <w:ind w:left="170" w:hanging="170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B8742A"/>
                <w:sz w:val="13"/>
              </w:rPr>
              <w:t xml:space="preserve">▪ </w:t>
            </w:r>
            <w:r>
              <w:rPr>
                <w:rFonts w:ascii="Calibri" w:hAnsi="Calibri" w:eastAsia="Calibri"/>
                <w:b w:val="0"/>
                <w:i w:val="0"/>
                <w:caps w:val="0"/>
                <w:color w:val="333F4A"/>
                <w:sz w:val="16"/>
              </w:rPr>
              <w:t>EEG &amp; brain–computer interfaces</w:t>
            </w:r>
          </w:p>
          <w:p>
            <w:pPr>
              <w:spacing w:before="0" w:after="32" w:line="264" w:lineRule="auto"/>
              <w:ind w:left="170" w:hanging="170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B8742A"/>
                <w:sz w:val="13"/>
              </w:rPr>
              <w:t xml:space="preserve">▪ </w:t>
            </w:r>
            <w:r>
              <w:rPr>
                <w:rFonts w:ascii="Calibri" w:hAnsi="Calibri" w:eastAsia="Calibri"/>
                <w:b w:val="0"/>
                <w:i w:val="0"/>
                <w:caps w:val="0"/>
                <w:color w:val="333F4A"/>
                <w:sz w:val="16"/>
              </w:rPr>
              <w:t>Cognitive IoT &amp; cross-layer optimisation</w:t>
            </w:r>
          </w:p>
          <w:p>
            <w:pPr>
              <w:spacing w:before="0" w:after="32" w:line="264" w:lineRule="auto"/>
              <w:ind w:left="170" w:hanging="170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B8742A"/>
                <w:sz w:val="13"/>
              </w:rPr>
              <w:t xml:space="preserve">▪ </w:t>
            </w:r>
            <w:r>
              <w:rPr>
                <w:rFonts w:ascii="Calibri" w:hAnsi="Calibri" w:eastAsia="Calibri"/>
                <w:b w:val="0"/>
                <w:i w:val="0"/>
                <w:caps w:val="0"/>
                <w:color w:val="333F4A"/>
                <w:sz w:val="16"/>
              </w:rPr>
              <w:t>Responsible AI &amp; fairness</w:t>
            </w:r>
          </w:p>
          <w:p>
            <w:pPr>
              <w:spacing w:before="0" w:after="32" w:line="264" w:lineRule="auto"/>
              <w:ind w:left="170" w:hanging="170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B8742A"/>
                <w:sz w:val="13"/>
              </w:rPr>
              <w:t xml:space="preserve">▪ </w:t>
            </w:r>
            <w:r>
              <w:rPr>
                <w:rFonts w:ascii="Calibri" w:hAnsi="Calibri" w:eastAsia="Calibri"/>
                <w:b w:val="0"/>
                <w:i w:val="0"/>
                <w:caps w:val="0"/>
                <w:color w:val="333F4A"/>
                <w:sz w:val="16"/>
              </w:rPr>
              <w:t>Anomaly detection</w:t>
            </w:r>
          </w:p>
        </w:tc>
        <w:tc>
          <w:tcPr>
            <w:tcW w:type="dxa" w:w="8163"/>
            <w:tcMar>
              <w:top w:w="737" w:type="dxa"/>
              <w:left w:w="510" w:type="dxa"/>
              <w:bottom w:w="453" w:type="dxa"/>
              <w:right w:w="623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20" w:line="252" w:lineRule="auto"/>
            </w:pPr>
            <w:r>
              <w:rPr>
                <w:rFonts w:ascii="Georgia" w:hAnsi="Georgia" w:eastAsia="Georgia"/>
                <w:b/>
                <w:i w:val="0"/>
                <w:caps w:val="0"/>
                <w:color w:val="16202A"/>
                <w:sz w:val="34"/>
              </w:rPr>
              <w:t>Research Publications &amp; Patents</w:t>
            </w:r>
          </w:p>
          <w:p>
            <w:pPr>
              <w:spacing w:before="0" w:after="120" w:line="276" w:lineRule="auto"/>
            </w:pPr>
            <w:r>
              <w:rPr>
                <w:rFonts w:ascii="Calibri" w:hAnsi="Calibri" w:eastAsia="Calibri"/>
                <w:b/>
                <w:i w:val="0"/>
                <w:caps/>
                <w:color w:val="B8742A"/>
                <w:sz w:val="15"/>
                <w:spacing w:val="12"/>
              </w:rPr>
              <w:t>Prepared for the Assistant Professor (Computer Science) role — UNSW Bengaluru Campus</w:t>
            </w:r>
          </w:p>
          <w:p>
            <w:pPr>
              <w:keepNext/>
              <w:spacing w:before="200" w:after="80" w:line="276" w:lineRule="auto"/>
              <w:pBdr>
                <w:bottom w:val="single" w:sz="4" w:space="1" w:color="DCDFE2"/>
              </w:pBdr>
            </w:pPr>
            <w:r>
              <w:rPr>
                <w:rFonts w:ascii="Calibri" w:hAnsi="Calibri" w:eastAsia="Calibri"/>
                <w:b/>
                <w:i w:val="0"/>
                <w:caps/>
                <w:color w:val="0E5A5C"/>
                <w:sz w:val="16"/>
                <w:spacing w:val="40"/>
              </w:rPr>
              <w:t>Research Profile</w:t>
            </w:r>
          </w:p>
          <w:p>
            <w:pPr>
              <w:spacing w:before="0" w:after="100" w:line="288" w:lineRule="auto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333F4A"/>
                <w:sz w:val="18"/>
              </w:rPr>
              <w:t>My research asks how intelligent systems can be made reliable and useful outside the laboratory: how agentic systems built on large language models coordinate to solve multi-step problems, how deep models recover structure from noisy spatio-temporal signals, and how constrained networked devices share resources fairly. The work is deliberately applied. It has produced three utility patents and a published application, and it is shaped by eight years of building production software before I moved into academia. Current threads are the evaluation and reliability of LLM-based agents, attention architectures for EEG and motor-imagery decoding, cross-layer optimisation in heterogeneous IoT, and fairness in deployed machine-learning models.</w:t>
            </w:r>
          </w:p>
          <w:p>
            <w:pPr>
              <w:keepNext/>
              <w:spacing w:before="200" w:after="80" w:line="276" w:lineRule="auto"/>
              <w:pBdr>
                <w:bottom w:val="single" w:sz="4" w:space="1" w:color="DCDFE2"/>
              </w:pBdr>
            </w:pPr>
            <w:r>
              <w:rPr>
                <w:rFonts w:ascii="Calibri" w:hAnsi="Calibri" w:eastAsia="Calibri"/>
                <w:b/>
                <w:i w:val="0"/>
                <w:caps/>
                <w:color w:val="0E5A5C"/>
                <w:sz w:val="16"/>
                <w:spacing w:val="40"/>
              </w:rPr>
              <w:t>Selected Contributions</w:t>
            </w:r>
          </w:p>
          <w:p>
            <w:pPr>
              <w:spacing w:before="0" w:after="40" w:line="269" w:lineRule="auto"/>
              <w:ind w:left="204" w:hanging="204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B8742A"/>
                <w:sz w:val="13"/>
              </w:rPr>
              <w:t xml:space="preserve">▪ </w:t>
            </w:r>
            <w:r>
              <w:rPr>
                <w:rFonts w:ascii="Calibri" w:hAnsi="Calibri" w:eastAsia="Calibri"/>
                <w:b w:val="0"/>
                <w:i w:val="0"/>
                <w:caps w:val="0"/>
                <w:color w:val="333F4A"/>
                <w:sz w:val="17"/>
              </w:rPr>
              <w:t>Multi-scale spatio-temporal attention for motor-imagery decoding — a network combining frequency–spatial parallel attention with multi-scale temporal modelling (IEEE ICIICS 2026).</w:t>
            </w:r>
          </w:p>
          <w:p>
            <w:pPr>
              <w:spacing w:before="0" w:after="40" w:line="269" w:lineRule="auto"/>
              <w:ind w:left="204" w:hanging="204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B8742A"/>
                <w:sz w:val="13"/>
              </w:rPr>
              <w:t xml:space="preserve">▪ </w:t>
            </w:r>
            <w:r>
              <w:rPr>
                <w:rFonts w:ascii="Calibri" w:hAnsi="Calibri" w:eastAsia="Calibri"/>
                <w:b w:val="0"/>
                <w:i w:val="0"/>
                <w:caps w:val="0"/>
                <w:color w:val="333F4A"/>
                <w:sz w:val="17"/>
              </w:rPr>
              <w:t>Lightweight multi-agent Q-learning for wireless IoT — cross-layer optimisation that balances energy across heterogeneous devices without central coordination (IEEE ICMNWC 2025).</w:t>
            </w:r>
          </w:p>
          <w:p>
            <w:pPr>
              <w:spacing w:before="0" w:after="40" w:line="269" w:lineRule="auto"/>
              <w:ind w:left="204" w:hanging="204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B8742A"/>
                <w:sz w:val="13"/>
              </w:rPr>
              <w:t xml:space="preserve">▪ </w:t>
            </w:r>
            <w:r>
              <w:rPr>
                <w:rFonts w:ascii="Calibri" w:hAnsi="Calibri" w:eastAsia="Calibri"/>
                <w:b w:val="0"/>
                <w:i w:val="0"/>
                <w:caps w:val="0"/>
                <w:color w:val="333F4A"/>
                <w:sz w:val="17"/>
              </w:rPr>
              <w:t>Agentic LLM systems as a route to general intelligence — a collaborative multi-agent framework analysed against SayCan, ChatDev and Devin (INDJCST 2025).</w:t>
            </w:r>
          </w:p>
          <w:p>
            <w:pPr>
              <w:spacing w:before="0" w:after="40" w:line="269" w:lineRule="auto"/>
              <w:ind w:left="204" w:hanging="204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B8742A"/>
                <w:sz w:val="13"/>
              </w:rPr>
              <w:t xml:space="preserve">▪ </w:t>
            </w:r>
            <w:r>
              <w:rPr>
                <w:rFonts w:ascii="Calibri" w:hAnsi="Calibri" w:eastAsia="Calibri"/>
                <w:b w:val="0"/>
                <w:i w:val="0"/>
                <w:caps w:val="0"/>
                <w:color w:val="333F4A"/>
                <w:sz w:val="17"/>
              </w:rPr>
              <w:t>Fairness in deployed models — a patented framework for bias mitigation and fairness verification in machine-learning pipelines (2026).</w:t>
            </w:r>
          </w:p>
          <w:p>
            <w:pPr>
              <w:keepNext/>
              <w:spacing w:before="200" w:after="80" w:line="276" w:lineRule="auto"/>
              <w:pBdr>
                <w:bottom w:val="single" w:sz="4" w:space="1" w:color="DCDFE2"/>
              </w:pBdr>
            </w:pPr>
            <w:r>
              <w:rPr>
                <w:rFonts w:ascii="Calibri" w:hAnsi="Calibri" w:eastAsia="Calibri"/>
                <w:b/>
                <w:i w:val="0"/>
                <w:caps/>
                <w:color w:val="0E5A5C"/>
                <w:sz w:val="16"/>
                <w:spacing w:val="40"/>
              </w:rPr>
              <w:t>Journal Articles</w:t>
            </w:r>
          </w:p>
          <w:p>
            <w:pPr>
              <w:spacing w:before="0" w:after="0" w:line="274" w:lineRule="auto"/>
            </w:pPr>
            <w:r>
              <w:rPr>
                <w:rFonts w:ascii="Calibri" w:hAnsi="Calibri" w:eastAsia="Calibri"/>
                <w:b/>
                <w:i w:val="0"/>
                <w:caps w:val="0"/>
                <w:color w:val="FFFFFF"/>
                <w:sz w:val="14"/>
                <w:shd w:val="clear" w:color="auto" w:fill="0E5A5C"/>
              </w:rPr>
              <w:t xml:space="preserve"> Medical Science Educator </w:t>
            </w:r>
            <w:r>
              <w:rPr>
                <w:rFonts w:ascii="Calibri" w:hAnsi="Calibri" w:eastAsia="Calibri"/>
                <w:b/>
                <w:i w:val="0"/>
                <w:caps w:val="0"/>
                <w:color w:val="16202A"/>
                <w:sz w:val="18"/>
              </w:rPr>
              <w:t xml:space="preserve">  Comment on “Incorporating Artificial Intelligence in Qualitative Research: Exploring the Role of ChatGPT in Thematic Analysis”</w:t>
            </w:r>
          </w:p>
          <w:p>
            <w:pPr>
              <w:spacing w:before="0" w:after="0" w:line="264" w:lineRule="auto"/>
              <w:ind w:left="57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5B6670"/>
                <w:sz w:val="16"/>
              </w:rPr>
              <w:t>Vol. 36, Issue 2, pp. 1063–1064 · 2026</w:t>
            </w:r>
          </w:p>
          <w:p>
            <w:pPr>
              <w:spacing w:before="0" w:after="0" w:line="264" w:lineRule="auto"/>
              <w:ind w:left="57"/>
            </w:pPr>
            <w:r>
              <w:rPr>
                <w:rFonts w:ascii="Calibri" w:hAnsi="Calibri" w:eastAsia="Calibri"/>
                <w:b/>
                <w:i w:val="0"/>
                <w:caps w:val="0"/>
                <w:color w:val="5B6670"/>
                <w:sz w:val="14"/>
              </w:rPr>
              <w:t xml:space="preserve">DOI </w:t>
            </w:r>
            <w:hyperlink r:id="rId17">
              <w:r>
                <w:rPr>
                  <w:rFonts w:ascii="Calibri" w:hAnsi="Calibri"/>
                  <w:color w:val="0E5A5C"/>
                  <w:sz w:val="15"/>
                </w:rPr>
                <w:t xml:space="preserve">10.1007/s40670-025-02618-y</w:t>
              </w:r>
            </w:hyperlink>
          </w:p>
          <w:p>
            <w:pPr>
              <w:spacing w:before="0" w:after="100" w:line="264" w:lineRule="auto"/>
              <w:ind w:left="57"/>
            </w:pPr>
            <w:r>
              <w:rPr>
                <w:rFonts w:ascii="Calibri" w:hAnsi="Calibri" w:eastAsia="Calibri"/>
                <w:b w:val="0"/>
                <w:i/>
                <w:caps w:val="0"/>
                <w:color w:val="5B6670"/>
                <w:sz w:val="15"/>
              </w:rPr>
              <w:t>with S. Banerjee, I. H. Madar</w:t>
            </w:r>
          </w:p>
          <w:p>
            <w:pPr>
              <w:spacing w:before="0" w:after="0" w:line="274" w:lineRule="auto"/>
            </w:pPr>
            <w:r>
              <w:rPr>
                <w:rFonts w:ascii="Calibri" w:hAnsi="Calibri" w:eastAsia="Calibri"/>
                <w:b/>
                <w:i w:val="0"/>
                <w:caps w:val="0"/>
                <w:color w:val="FFFFFF"/>
                <w:sz w:val="14"/>
                <w:shd w:val="clear" w:color="auto" w:fill="0E5A5C"/>
              </w:rPr>
              <w:t xml:space="preserve"> J. Neurological Sciences </w:t>
            </w:r>
            <w:r>
              <w:rPr>
                <w:rFonts w:ascii="Calibri" w:hAnsi="Calibri" w:eastAsia="Calibri"/>
                <w:b/>
                <w:i w:val="0"/>
                <w:caps w:val="0"/>
                <w:color w:val="16202A"/>
                <w:sz w:val="18"/>
              </w:rPr>
              <w:t xml:space="preserve">  Comment on “Improving care for amyotrophic lateral sclerosis with artificial intelligence and affective computing”</w:t>
            </w:r>
          </w:p>
          <w:p>
            <w:pPr>
              <w:spacing w:before="0" w:after="0" w:line="264" w:lineRule="auto"/>
              <w:ind w:left="57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5B6670"/>
                <w:sz w:val="16"/>
              </w:rPr>
              <w:t>Vol. 486 · 2026</w:t>
            </w:r>
          </w:p>
          <w:p>
            <w:pPr>
              <w:spacing w:before="0" w:after="100" w:line="264" w:lineRule="auto"/>
              <w:ind w:left="57"/>
            </w:pPr>
            <w:r>
              <w:rPr>
                <w:rFonts w:ascii="Calibri" w:hAnsi="Calibri" w:eastAsia="Calibri"/>
                <w:b w:val="0"/>
                <w:i/>
                <w:caps w:val="0"/>
                <w:color w:val="5B6670"/>
                <w:sz w:val="15"/>
              </w:rPr>
              <w:t>with S. U. Adhyapak, P. Mishra</w:t>
            </w:r>
          </w:p>
          <w:p>
            <w:pPr>
              <w:spacing w:before="0" w:after="0" w:line="274" w:lineRule="auto"/>
            </w:pPr>
            <w:r>
              <w:rPr>
                <w:rFonts w:ascii="Calibri" w:hAnsi="Calibri" w:eastAsia="Calibri"/>
                <w:b/>
                <w:i w:val="0"/>
                <w:caps w:val="0"/>
                <w:color w:val="FFFFFF"/>
                <w:sz w:val="14"/>
                <w:shd w:val="clear" w:color="auto" w:fill="0E5A5C"/>
              </w:rPr>
              <w:t xml:space="preserve"> INDJCST </w:t>
            </w:r>
            <w:r>
              <w:rPr>
                <w:rFonts w:ascii="Calibri" w:hAnsi="Calibri" w:eastAsia="Calibri"/>
                <w:b/>
                <w:i w:val="0"/>
                <w:caps w:val="0"/>
                <w:color w:val="16202A"/>
                <w:sz w:val="18"/>
              </w:rPr>
              <w:t xml:space="preserve">  Agentic Approach in the Quest for AGI</w:t>
            </w:r>
          </w:p>
          <w:p>
            <w:pPr>
              <w:spacing w:before="0" w:after="0" w:line="264" w:lineRule="auto"/>
              <w:ind w:left="57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5B6670"/>
                <w:sz w:val="16"/>
              </w:rPr>
              <w:t>Indian Journal of Computer Science and Technology, pp. 279–289 · 2025</w:t>
            </w:r>
          </w:p>
          <w:p>
            <w:pPr>
              <w:spacing w:before="0" w:after="100" w:line="264" w:lineRule="auto"/>
              <w:ind w:left="57"/>
            </w:pPr>
            <w:r>
              <w:rPr>
                <w:rFonts w:ascii="Calibri" w:hAnsi="Calibri" w:eastAsia="Calibri"/>
                <w:b/>
                <w:i w:val="0"/>
                <w:caps w:val="0"/>
                <w:color w:val="5B6670"/>
                <w:sz w:val="14"/>
              </w:rPr>
              <w:t xml:space="preserve">DOI </w:t>
            </w:r>
            <w:hyperlink r:id="rId18">
              <w:r>
                <w:rPr>
                  <w:rFonts w:ascii="Calibri" w:hAnsi="Calibri"/>
                  <w:color w:val="0E5A5C"/>
                  <w:sz w:val="15"/>
                </w:rPr>
                <w:t xml:space="preserve">10.59256/indjcst.20250402043</w:t>
              </w:r>
            </w:hyperlink>
          </w:p>
          <w:p>
            <w:pPr>
              <w:spacing w:before="0" w:after="0" w:line="274" w:lineRule="auto"/>
            </w:pPr>
            <w:r>
              <w:rPr>
                <w:rFonts w:ascii="Calibri" w:hAnsi="Calibri" w:eastAsia="Calibri"/>
                <w:b/>
                <w:i w:val="0"/>
                <w:caps w:val="0"/>
                <w:color w:val="FFFFFF"/>
                <w:sz w:val="14"/>
                <w:shd w:val="clear" w:color="auto" w:fill="0E5A5C"/>
              </w:rPr>
              <w:t xml:space="preserve"> IRJET </w:t>
            </w:r>
            <w:r>
              <w:rPr>
                <w:rFonts w:ascii="Calibri" w:hAnsi="Calibri" w:eastAsia="Calibri"/>
                <w:b/>
                <w:i w:val="0"/>
                <w:caps w:val="0"/>
                <w:color w:val="16202A"/>
                <w:sz w:val="18"/>
              </w:rPr>
              <w:t xml:space="preserve">  A Review of Deep Learning Techniques in Detection of Anomaly in Credit Card Transactions</w:t>
            </w:r>
          </w:p>
          <w:p>
            <w:pPr>
              <w:spacing w:before="0" w:after="100" w:line="264" w:lineRule="auto"/>
              <w:ind w:left="57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5B6670"/>
                <w:sz w:val="16"/>
              </w:rPr>
              <w:t>Vol. 9, Issue 9 · 2022</w:t>
            </w:r>
          </w:p>
          <w:p>
            <w:pPr>
              <w:keepNext/>
              <w:spacing w:before="200" w:after="80" w:line="276" w:lineRule="auto"/>
              <w:pBdr>
                <w:bottom w:val="single" w:sz="4" w:space="1" w:color="DCDFE2"/>
              </w:pBdr>
            </w:pPr>
            <w:r>
              <w:rPr>
                <w:rFonts w:ascii="Calibri" w:hAnsi="Calibri" w:eastAsia="Calibri"/>
                <w:b/>
                <w:i w:val="0"/>
                <w:caps/>
                <w:color w:val="0E5A5C"/>
                <w:sz w:val="16"/>
                <w:spacing w:val="40"/>
              </w:rPr>
              <w:t>Patents</w:t>
            </w:r>
          </w:p>
          <w:p>
            <w:pPr>
              <w:tabs>
                <w:tab w:pos="454" w:val="left"/>
              </w:tabs>
              <w:spacing w:before="0" w:after="0" w:line="274" w:lineRule="auto"/>
              <w:ind w:left="454" w:hanging="454"/>
            </w:pPr>
            <w:r>
              <w:rPr>
                <w:rFonts w:ascii="Calibri" w:hAnsi="Calibri" w:eastAsia="Calibri"/>
                <w:b/>
                <w:i w:val="0"/>
                <w:caps w:val="0"/>
                <w:color w:val="B8742A"/>
                <w:sz w:val="21"/>
              </w:rPr>
              <w:t>01</w:t>
              <w:tab/>
            </w:r>
            <w:r>
              <w:rPr>
                <w:rFonts w:ascii="Calibri" w:hAnsi="Calibri" w:eastAsia="Calibri"/>
                <w:b/>
                <w:i w:val="0"/>
                <w:caps w:val="0"/>
                <w:color w:val="16202A"/>
                <w:sz w:val="18"/>
              </w:rPr>
              <w:t>A Bulk Silkworm Cocoon Inspection and Assisted Sorting Machine Using Shallow-Layer Conveyor Spreading</w:t>
            </w:r>
          </w:p>
          <w:p>
            <w:pPr>
              <w:spacing w:before="0" w:after="100" w:line="264" w:lineRule="auto"/>
              <w:ind w:left="454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5B6670"/>
                <w:sz w:val="15"/>
              </w:rPr>
              <w:t>Utility patent · 2026</w:t>
            </w:r>
          </w:p>
          <w:p>
            <w:pPr>
              <w:tabs>
                <w:tab w:pos="454" w:val="left"/>
              </w:tabs>
              <w:spacing w:before="0" w:after="0" w:line="274" w:lineRule="auto"/>
              <w:ind w:left="454" w:hanging="454"/>
            </w:pPr>
            <w:r>
              <w:rPr>
                <w:rFonts w:ascii="Calibri" w:hAnsi="Calibri" w:eastAsia="Calibri"/>
                <w:b/>
                <w:i w:val="0"/>
                <w:caps w:val="0"/>
                <w:color w:val="B8742A"/>
                <w:sz w:val="21"/>
              </w:rPr>
              <w:t>02</w:t>
              <w:tab/>
            </w:r>
            <w:r>
              <w:rPr>
                <w:rFonts w:ascii="Calibri" w:hAnsi="Calibri" w:eastAsia="Calibri"/>
                <w:b/>
                <w:i w:val="0"/>
                <w:caps w:val="0"/>
                <w:color w:val="16202A"/>
                <w:sz w:val="18"/>
              </w:rPr>
              <w:t>Adaptive Quality of Service Management System for Heterogeneous Internet of Things Networks</w:t>
            </w:r>
          </w:p>
          <w:p>
            <w:pPr>
              <w:spacing w:before="0" w:after="100" w:line="264" w:lineRule="auto"/>
              <w:ind w:left="454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5B6670"/>
                <w:sz w:val="15"/>
              </w:rPr>
              <w:t>Utility patent · 2026</w:t>
            </w:r>
          </w:p>
          <w:p>
            <w:pPr>
              <w:tabs>
                <w:tab w:pos="454" w:val="left"/>
              </w:tabs>
              <w:spacing w:before="0" w:after="0" w:line="274" w:lineRule="auto"/>
              <w:ind w:left="454" w:hanging="454"/>
            </w:pPr>
            <w:r>
              <w:rPr>
                <w:rFonts w:ascii="Calibri" w:hAnsi="Calibri" w:eastAsia="Calibri"/>
                <w:b/>
                <w:i w:val="0"/>
                <w:caps w:val="0"/>
                <w:color w:val="B8742A"/>
                <w:sz w:val="21"/>
              </w:rPr>
              <w:t>03</w:t>
              <w:tab/>
            </w:r>
            <w:r>
              <w:rPr>
                <w:rFonts w:ascii="Calibri" w:hAnsi="Calibri" w:eastAsia="Calibri"/>
                <w:b/>
                <w:i w:val="0"/>
                <w:caps w:val="0"/>
                <w:color w:val="16202A"/>
                <w:sz w:val="18"/>
              </w:rPr>
              <w:t>Ethical and Responsible AI: Bias Mitigation and Fairness in Machine Learning Models</w:t>
            </w:r>
          </w:p>
          <w:p>
            <w:pPr>
              <w:spacing w:before="0" w:after="100" w:line="264" w:lineRule="auto"/>
              <w:ind w:left="454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5B6670"/>
                <w:sz w:val="15"/>
              </w:rPr>
              <w:t>Utility patent · 2026</w:t>
            </w:r>
          </w:p>
          <w:p>
            <w:pPr>
              <w:tabs>
                <w:tab w:pos="454" w:val="left"/>
              </w:tabs>
              <w:spacing w:before="0" w:after="0" w:line="274" w:lineRule="auto"/>
              <w:ind w:left="454" w:hanging="454"/>
            </w:pPr>
            <w:r>
              <w:rPr>
                <w:rFonts w:ascii="Calibri" w:hAnsi="Calibri" w:eastAsia="Calibri"/>
                <w:b/>
                <w:i w:val="0"/>
                <w:caps w:val="0"/>
                <w:color w:val="B8742A"/>
                <w:sz w:val="21"/>
              </w:rPr>
              <w:t>04</w:t>
              <w:tab/>
            </w:r>
            <w:r>
              <w:rPr>
                <w:rFonts w:ascii="Calibri" w:hAnsi="Calibri" w:eastAsia="Calibri"/>
                <w:b w:val="0"/>
                <w:i w:val="0"/>
                <w:caps w:val="0"/>
                <w:color w:val="16202A"/>
                <w:sz w:val="18"/>
              </w:rPr>
              <w:t>Cloud-based Social Virtual Reality IoT Network with Device Synchronization Between Real and Virtual Worlds</w:t>
            </w:r>
          </w:p>
          <w:p>
            <w:pPr>
              <w:spacing w:before="0" w:after="100" w:line="264" w:lineRule="auto"/>
              <w:ind w:left="454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5B6670"/>
                <w:sz w:val="15"/>
              </w:rPr>
              <w:t>Published application 202441098998 · filed 14 Dec 2024, published 20 Dec 2024</w:t>
            </w:r>
          </w:p>
        </w:tc>
      </w:tr>
      <w:tr>
        <w:trPr>
          <w:trHeight w:val="16271" w:hRule="exact"/>
          <w:cantSplit/>
        </w:trPr>
        <w:tc>
          <w:tcPr>
            <w:tcW w:type="dxa" w:w="3741"/>
            <w:shd w:val="clear" w:color="auto" w:fill="F3F1EC"/>
            <w:tcBorders>
              <w:top w:val="nil"/>
              <w:left w:val="nil"/>
              <w:bottom w:val="nil"/>
              <w:right w:val="single" w:sz="4" w:color="DCDFE2"/>
            </w:tcBorders>
            <w:tcMar>
              <w:top w:w="737" w:type="dxa"/>
              <w:left w:w="567" w:type="dxa"/>
              <w:bottom w:w="453" w:type="dxa"/>
              <w:right w:w="340" w:type="dxa"/>
            </w:tcMar>
          </w:tcPr>
          <w:p>
            <w:pPr>
              <w:keepNext/>
              <w:spacing w:before="0" w:after="80" w:line="276" w:lineRule="auto"/>
              <w:pBdr>
                <w:bottom w:val="single" w:sz="4" w:space="1" w:color="DCDFE2"/>
              </w:pBdr>
            </w:pPr>
            <w:r>
              <w:rPr>
                <w:rFonts w:ascii="Calibri" w:hAnsi="Calibri" w:eastAsia="Calibri"/>
                <w:b/>
                <w:i w:val="0"/>
                <w:caps/>
                <w:color w:val="0E5A5C"/>
                <w:sz w:val="16"/>
                <w:spacing w:val="40"/>
              </w:rPr>
              <w:t>Doctoral Research</w:t>
            </w:r>
          </w:p>
          <w:p>
            <w:pPr>
              <w:spacing w:before="0" w:after="60" w:line="276" w:lineRule="auto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333F4A"/>
                <w:sz w:val="16"/>
              </w:rPr>
              <w:t>Ph.D. in Computer Science &amp; Engineering, Visvesvaraya Technological University (enrolled 2023), in applied deep learning and intelligent systems. Supervised through DSATM, Bengaluru.</w:t>
            </w:r>
          </w:p>
          <w:p>
            <w:pPr>
              <w:keepNext/>
              <w:spacing w:before="200" w:after="80" w:line="276" w:lineRule="auto"/>
              <w:pBdr>
                <w:bottom w:val="single" w:sz="4" w:space="1" w:color="DCDFE2"/>
              </w:pBdr>
            </w:pPr>
            <w:r>
              <w:rPr>
                <w:rFonts w:ascii="Calibri" w:hAnsi="Calibri" w:eastAsia="Calibri"/>
                <w:b/>
                <w:i w:val="0"/>
                <w:caps/>
                <w:color w:val="0E5A5C"/>
                <w:sz w:val="16"/>
                <w:spacing w:val="40"/>
              </w:rPr>
              <w:t>Research Training</w:t>
            </w:r>
          </w:p>
          <w:p>
            <w:pPr>
              <w:keepNext/>
              <w:spacing w:before="0" w:after="0" w:line="276" w:lineRule="auto"/>
            </w:pPr>
            <w:r>
              <w:rPr>
                <w:rFonts w:ascii="Calibri" w:hAnsi="Calibri" w:eastAsia="Calibri"/>
                <w:b/>
                <w:i w:val="0"/>
                <w:caps w:val="0"/>
                <w:color w:val="16202A"/>
                <w:sz w:val="17"/>
              </w:rPr>
              <w:t>Deep Learning — Elite</w:t>
            </w:r>
          </w:p>
          <w:p>
            <w:pPr>
              <w:spacing w:before="0" w:after="100" w:line="276" w:lineRule="auto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5B6670"/>
                <w:sz w:val="15"/>
              </w:rPr>
              <w:t>NPTEL · 2025</w:t>
            </w:r>
          </w:p>
          <w:p>
            <w:pPr>
              <w:keepNext/>
              <w:spacing w:before="0" w:after="0" w:line="276" w:lineRule="auto"/>
            </w:pPr>
            <w:r>
              <w:rPr>
                <w:rFonts w:ascii="Calibri" w:hAnsi="Calibri" w:eastAsia="Calibri"/>
                <w:b/>
                <w:i w:val="0"/>
                <w:caps w:val="0"/>
                <w:color w:val="16202A"/>
                <w:sz w:val="17"/>
              </w:rPr>
              <w:t>Blockchain Technology</w:t>
            </w:r>
          </w:p>
          <w:p>
            <w:pPr>
              <w:spacing w:before="0" w:after="100" w:line="276" w:lineRule="auto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5B6670"/>
                <w:sz w:val="15"/>
              </w:rPr>
              <w:t>NPTEL · 2025</w:t>
            </w:r>
          </w:p>
          <w:p>
            <w:pPr>
              <w:keepNext/>
              <w:spacing w:before="0" w:after="0" w:line="276" w:lineRule="auto"/>
            </w:pPr>
            <w:r>
              <w:rPr>
                <w:rFonts w:ascii="Calibri" w:hAnsi="Calibri" w:eastAsia="Calibri"/>
                <w:b/>
                <w:i w:val="0"/>
                <w:caps w:val="0"/>
                <w:color w:val="16202A"/>
                <w:sz w:val="17"/>
              </w:rPr>
              <w:t>Data Analytics with Python</w:t>
            </w:r>
          </w:p>
          <w:p>
            <w:pPr>
              <w:spacing w:before="0" w:after="100" w:line="276" w:lineRule="auto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5B6670"/>
                <w:sz w:val="15"/>
              </w:rPr>
              <w:t>NPTEL · 2024</w:t>
            </w:r>
          </w:p>
          <w:p>
            <w:pPr>
              <w:keepNext/>
              <w:spacing w:before="0" w:after="0" w:line="276" w:lineRule="auto"/>
            </w:pPr>
            <w:r>
              <w:rPr>
                <w:rFonts w:ascii="Calibri" w:hAnsi="Calibri" w:eastAsia="Calibri"/>
                <w:b/>
                <w:i w:val="0"/>
                <w:caps w:val="0"/>
                <w:color w:val="16202A"/>
                <w:sz w:val="17"/>
              </w:rPr>
              <w:t>Machine Learning &amp; NLP</w:t>
            </w:r>
          </w:p>
          <w:p>
            <w:pPr>
              <w:spacing w:before="0" w:after="100" w:line="276" w:lineRule="auto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5B6670"/>
                <w:sz w:val="15"/>
              </w:rPr>
              <w:t>Infosys Springboard FDP · 2025</w:t>
            </w:r>
          </w:p>
          <w:p>
            <w:pPr>
              <w:keepNext/>
              <w:spacing w:before="0" w:after="0" w:line="276" w:lineRule="auto"/>
            </w:pPr>
            <w:r>
              <w:rPr>
                <w:rFonts w:ascii="Calibri" w:hAnsi="Calibri" w:eastAsia="Calibri"/>
                <w:b/>
                <w:i w:val="0"/>
                <w:caps w:val="0"/>
                <w:color w:val="16202A"/>
                <w:sz w:val="17"/>
              </w:rPr>
              <w:t>Cyber Security</w:t>
            </w:r>
          </w:p>
          <w:p>
            <w:pPr>
              <w:spacing w:before="0" w:after="100" w:line="276" w:lineRule="auto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5B6670"/>
                <w:sz w:val="15"/>
              </w:rPr>
              <w:t>AICTE · VTU FDP · 2023</w:t>
            </w:r>
          </w:p>
          <w:p>
            <w:pPr>
              <w:keepNext/>
              <w:spacing w:before="200" w:after="80" w:line="276" w:lineRule="auto"/>
              <w:pBdr>
                <w:bottom w:val="single" w:sz="4" w:space="1" w:color="DCDFE2"/>
              </w:pBdr>
            </w:pPr>
            <w:r>
              <w:rPr>
                <w:rFonts w:ascii="Calibri" w:hAnsi="Calibri" w:eastAsia="Calibri"/>
                <w:b/>
                <w:i w:val="0"/>
                <w:caps/>
                <w:color w:val="0E5A5C"/>
                <w:sz w:val="16"/>
                <w:spacing w:val="40"/>
              </w:rPr>
              <w:t>Reproducibility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5B6670"/>
                <w:sz w:val="16"/>
              </w:rPr>
              <w:t xml:space="preserve">Research code and teaching systems are public at </w:t>
            </w:r>
            <w:hyperlink r:id="rId19">
              <w:r>
                <w:rPr>
                  <w:rFonts w:ascii="Calibri" w:hAnsi="Calibri"/>
                  <w:color w:val="0E5A5C"/>
                  <w:b/>
                  <w:sz w:val="16"/>
                </w:rPr>
                <w:t xml:space="preserve">github.com/maheshbasavaraj</w:t>
              </w:r>
            </w:hyperlink>
          </w:p>
        </w:tc>
        <w:tc>
          <w:tcPr>
            <w:tcW w:type="dxa" w:w="8163"/>
            <w:tcMar>
              <w:top w:w="737" w:type="dxa"/>
              <w:left w:w="510" w:type="dxa"/>
              <w:bottom w:w="453" w:type="dxa"/>
              <w:right w:w="623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spacing w:before="0" w:after="80" w:line="276" w:lineRule="auto"/>
              <w:pBdr>
                <w:bottom w:val="single" w:sz="4" w:space="1" w:color="DCDFE2"/>
              </w:pBdr>
            </w:pPr>
            <w:r>
              <w:rPr>
                <w:rFonts w:ascii="Calibri" w:hAnsi="Calibri" w:eastAsia="Calibri"/>
                <w:b/>
                <w:i w:val="0"/>
                <w:caps/>
                <w:color w:val="0E5A5C"/>
                <w:sz w:val="16"/>
                <w:spacing w:val="40"/>
              </w:rPr>
              <w:t>Conference Papers</w:t>
            </w:r>
          </w:p>
          <w:p>
            <w:pPr>
              <w:spacing w:before="0" w:after="0" w:line="274" w:lineRule="auto"/>
            </w:pPr>
            <w:r>
              <w:rPr>
                <w:rFonts w:ascii="Calibri" w:hAnsi="Calibri" w:eastAsia="Calibri"/>
                <w:b/>
                <w:i w:val="0"/>
                <w:caps w:val="0"/>
                <w:color w:val="FFFFFF"/>
                <w:sz w:val="14"/>
                <w:shd w:val="clear" w:color="auto" w:fill="0E5A5C"/>
              </w:rPr>
              <w:t xml:space="preserve"> ICIICS 2026 </w:t>
            </w:r>
            <w:r>
              <w:rPr>
                <w:rFonts w:ascii="Calibri" w:hAnsi="Calibri" w:eastAsia="Calibri"/>
                <w:b/>
                <w:i w:val="0"/>
                <w:caps w:val="0"/>
                <w:color w:val="16202A"/>
                <w:sz w:val="18"/>
              </w:rPr>
              <w:t xml:space="preserve">  Multi-Scale Spatio-Temporal Network with Frequency–Spatial Parallel Attention for Motor Imagery Classification</w:t>
            </w:r>
          </w:p>
          <w:p>
            <w:pPr>
              <w:spacing w:before="0" w:after="0" w:line="264" w:lineRule="auto"/>
              <w:ind w:left="57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5B6670"/>
                <w:sz w:val="16"/>
              </w:rPr>
              <w:t>3rd Intl. Conf. on Integrated Intelligence and Communication Systems, pp. 1–7 · May 2026</w:t>
            </w:r>
          </w:p>
          <w:p>
            <w:pPr>
              <w:spacing w:before="0" w:after="0" w:line="264" w:lineRule="auto"/>
              <w:ind w:left="57"/>
            </w:pPr>
            <w:r>
              <w:rPr>
                <w:rFonts w:ascii="Calibri" w:hAnsi="Calibri" w:eastAsia="Calibri"/>
                <w:b/>
                <w:i w:val="0"/>
                <w:caps w:val="0"/>
                <w:color w:val="5B6670"/>
                <w:sz w:val="14"/>
              </w:rPr>
              <w:t xml:space="preserve">DOI </w:t>
            </w:r>
            <w:hyperlink r:id="rId20">
              <w:r>
                <w:rPr>
                  <w:rFonts w:ascii="Calibri" w:hAnsi="Calibri"/>
                  <w:color w:val="0E5A5C"/>
                  <w:sz w:val="15"/>
                </w:rPr>
                <w:t xml:space="preserve">10.1109/ICIICS67880.2026.11483407</w:t>
              </w:r>
            </w:hyperlink>
          </w:p>
          <w:p>
            <w:pPr>
              <w:spacing w:before="0" w:after="100" w:line="264" w:lineRule="auto"/>
              <w:ind w:left="57"/>
            </w:pPr>
            <w:r>
              <w:rPr>
                <w:rFonts w:ascii="Calibri" w:hAnsi="Calibri" w:eastAsia="Calibri"/>
                <w:b w:val="0"/>
                <w:i/>
                <w:caps w:val="0"/>
                <w:color w:val="5B6670"/>
                <w:sz w:val="15"/>
              </w:rPr>
              <w:t>with R. A. M. Sait, B. Y. Vineetha, G. Priyadharshini, N. Sitanshu</w:t>
            </w:r>
          </w:p>
          <w:p>
            <w:pPr>
              <w:spacing w:before="0" w:after="0" w:line="274" w:lineRule="auto"/>
            </w:pPr>
            <w:r>
              <w:rPr>
                <w:rFonts w:ascii="Calibri" w:hAnsi="Calibri" w:eastAsia="Calibri"/>
                <w:b/>
                <w:i w:val="0"/>
                <w:caps w:val="0"/>
                <w:color w:val="FFFFFF"/>
                <w:sz w:val="14"/>
                <w:shd w:val="clear" w:color="auto" w:fill="0E5A5C"/>
              </w:rPr>
              <w:t xml:space="preserve"> ICIICS 2026 </w:t>
            </w:r>
            <w:r>
              <w:rPr>
                <w:rFonts w:ascii="Calibri" w:hAnsi="Calibri" w:eastAsia="Calibri"/>
                <w:b/>
                <w:i w:val="0"/>
                <w:caps w:val="0"/>
                <w:color w:val="16202A"/>
                <w:sz w:val="18"/>
              </w:rPr>
              <w:t xml:space="preserve">  Predictive Mobility-Aware Cognitive Medium Access Control for Underwater Vehicle Communication</w:t>
            </w:r>
          </w:p>
          <w:p>
            <w:pPr>
              <w:spacing w:before="0" w:after="0" w:line="264" w:lineRule="auto"/>
              <w:ind w:left="57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5B6670"/>
                <w:sz w:val="16"/>
              </w:rPr>
              <w:t>3rd Intl. Conf. on Integrated Intelligence and Communication Systems · 2026</w:t>
            </w:r>
          </w:p>
          <w:p>
            <w:pPr>
              <w:spacing w:before="0" w:after="100" w:line="264" w:lineRule="auto"/>
              <w:ind w:left="57"/>
            </w:pPr>
            <w:r>
              <w:rPr>
                <w:rFonts w:ascii="Calibri" w:hAnsi="Calibri" w:eastAsia="Calibri"/>
                <w:b w:val="0"/>
                <w:i/>
                <w:caps w:val="0"/>
                <w:color w:val="5B6670"/>
                <w:sz w:val="15"/>
              </w:rPr>
              <w:t>with P. Maderamitla, J. Ulaganathan, G. Bindu, K. Anguraj</w:t>
            </w:r>
          </w:p>
          <w:p>
            <w:pPr>
              <w:spacing w:before="0" w:after="0" w:line="274" w:lineRule="auto"/>
            </w:pPr>
            <w:r>
              <w:rPr>
                <w:rFonts w:ascii="Calibri" w:hAnsi="Calibri" w:eastAsia="Calibri"/>
                <w:b/>
                <w:i w:val="0"/>
                <w:caps w:val="0"/>
                <w:color w:val="FFFFFF"/>
                <w:sz w:val="14"/>
                <w:shd w:val="clear" w:color="auto" w:fill="0E5A5C"/>
              </w:rPr>
              <w:t xml:space="preserve"> ICBDML 2026 </w:t>
            </w:r>
            <w:r>
              <w:rPr>
                <w:rFonts w:ascii="Calibri" w:hAnsi="Calibri" w:eastAsia="Calibri"/>
                <w:b/>
                <w:i w:val="0"/>
                <w:caps w:val="0"/>
                <w:color w:val="16202A"/>
                <w:sz w:val="18"/>
              </w:rPr>
              <w:t xml:space="preserve">  Harnessing Large Language Models for Next-Generation Artificial Intelligence Applications</w:t>
            </w:r>
          </w:p>
          <w:p>
            <w:pPr>
              <w:spacing w:before="0" w:after="0" w:line="264" w:lineRule="auto"/>
              <w:ind w:left="57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5B6670"/>
                <w:sz w:val="16"/>
              </w:rPr>
              <w:t>2nd Intl. Conf. on Big Data and Machine Learning · Feb 2026</w:t>
            </w:r>
          </w:p>
          <w:p>
            <w:pPr>
              <w:spacing w:before="0" w:after="100" w:line="264" w:lineRule="auto"/>
              <w:ind w:left="57"/>
            </w:pPr>
            <w:r>
              <w:rPr>
                <w:rFonts w:ascii="Calibri" w:hAnsi="Calibri" w:eastAsia="Calibri"/>
                <w:b w:val="0"/>
                <w:i/>
                <w:caps w:val="0"/>
                <w:color w:val="5B6670"/>
                <w:sz w:val="15"/>
              </w:rPr>
              <w:t>with N. Garg, S. Yangalasetty, T. Vangalapat, M. Kumari, M. Gupta</w:t>
            </w:r>
          </w:p>
          <w:p>
            <w:pPr>
              <w:spacing w:before="0" w:after="0" w:line="274" w:lineRule="auto"/>
            </w:pPr>
            <w:r>
              <w:rPr>
                <w:rFonts w:ascii="Calibri" w:hAnsi="Calibri" w:eastAsia="Calibri"/>
                <w:b/>
                <w:i w:val="0"/>
                <w:caps w:val="0"/>
                <w:color w:val="FFFFFF"/>
                <w:sz w:val="14"/>
                <w:shd w:val="clear" w:color="auto" w:fill="0E5A5C"/>
              </w:rPr>
              <w:t xml:space="preserve"> IEEE ICMNWC 2025 </w:t>
            </w:r>
            <w:r>
              <w:rPr>
                <w:rFonts w:ascii="Calibri" w:hAnsi="Calibri" w:eastAsia="Calibri"/>
                <w:b/>
                <w:i w:val="0"/>
                <w:caps w:val="0"/>
                <w:color w:val="16202A"/>
                <w:sz w:val="18"/>
              </w:rPr>
              <w:t xml:space="preserve">  Lightweight Multi-Agent Q-learning Cross-Layer Optimization in Wireless IoT Networks for Balanced Energy Utilization</w:t>
            </w:r>
          </w:p>
          <w:p>
            <w:pPr>
              <w:spacing w:before="0" w:after="100" w:line="264" w:lineRule="auto"/>
              <w:ind w:left="57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5B6670"/>
                <w:sz w:val="16"/>
              </w:rPr>
              <w:t>IEEE Intl. Conf. on Modelling, Networks and Wireless Communication · Dec 2025</w:t>
            </w:r>
          </w:p>
          <w:p>
            <w:pPr>
              <w:spacing w:before="0" w:after="0" w:line="274" w:lineRule="auto"/>
            </w:pPr>
            <w:r>
              <w:rPr>
                <w:rFonts w:ascii="Calibri" w:hAnsi="Calibri" w:eastAsia="Calibri"/>
                <w:b/>
                <w:i w:val="0"/>
                <w:caps w:val="0"/>
                <w:color w:val="FFFFFF"/>
                <w:sz w:val="14"/>
                <w:shd w:val="clear" w:color="auto" w:fill="0E5A5C"/>
              </w:rPr>
              <w:t xml:space="preserve"> ICEASD 2024 </w:t>
            </w:r>
            <w:r>
              <w:rPr>
                <w:rFonts w:ascii="Calibri" w:hAnsi="Calibri" w:eastAsia="Calibri"/>
                <w:b/>
                <w:i w:val="0"/>
                <w:caps w:val="0"/>
                <w:color w:val="16202A"/>
                <w:sz w:val="18"/>
              </w:rPr>
              <w:t xml:space="preserve">  Using AI Agents Built on LLMs for Building AGI</w:t>
            </w:r>
          </w:p>
          <w:p>
            <w:pPr>
              <w:spacing w:before="0" w:after="100" w:line="264" w:lineRule="auto"/>
              <w:ind w:left="57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5B6670"/>
                <w:sz w:val="16"/>
              </w:rPr>
              <w:t>Intl. Conf. on Engineering Advancements and Sustainable Development, JETIR Vol. 11, Issue 5 · May 2024</w:t>
            </w:r>
          </w:p>
          <w:p>
            <w:pPr>
              <w:spacing w:before="0" w:after="0" w:line="274" w:lineRule="auto"/>
            </w:pPr>
            <w:r>
              <w:rPr>
                <w:rFonts w:ascii="Calibri" w:hAnsi="Calibri" w:eastAsia="Calibri"/>
                <w:b/>
                <w:i w:val="0"/>
                <w:caps w:val="0"/>
                <w:color w:val="FFFFFF"/>
                <w:sz w:val="14"/>
                <w:shd w:val="clear" w:color="auto" w:fill="0E5A5C"/>
              </w:rPr>
              <w:t xml:space="preserve"> ICAMSnT 2023 </w:t>
            </w:r>
            <w:r>
              <w:rPr>
                <w:rFonts w:ascii="Calibri" w:hAnsi="Calibri" w:eastAsia="Calibri"/>
                <w:b/>
                <w:i w:val="0"/>
                <w:caps w:val="0"/>
                <w:color w:val="16202A"/>
                <w:sz w:val="18"/>
              </w:rPr>
              <w:t xml:space="preserve">  The Alignment Problem in AI</w:t>
            </w:r>
          </w:p>
          <w:p>
            <w:pPr>
              <w:spacing w:before="0" w:after="100" w:line="264" w:lineRule="auto"/>
              <w:ind w:left="57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5B6670"/>
                <w:sz w:val="16"/>
              </w:rPr>
              <w:t>Intl. Conf. on Advances in Modern Science and Technology · Apr 2023</w:t>
            </w:r>
          </w:p>
          <w:p>
            <w:pPr>
              <w:spacing w:before="0" w:after="0" w:line="274" w:lineRule="auto"/>
            </w:pPr>
            <w:r>
              <w:rPr>
                <w:rFonts w:ascii="Calibri" w:hAnsi="Calibri" w:eastAsia="Calibri"/>
                <w:b/>
                <w:i w:val="0"/>
                <w:caps w:val="0"/>
                <w:color w:val="FFFFFF"/>
                <w:sz w:val="14"/>
                <w:shd w:val="clear" w:color="auto" w:fill="0E5A5C"/>
              </w:rPr>
              <w:t xml:space="preserve"> ICAPCTA 2022 </w:t>
            </w:r>
            <w:r>
              <w:rPr>
                <w:rFonts w:ascii="Calibri" w:hAnsi="Calibri" w:eastAsia="Calibri"/>
                <w:b/>
                <w:i w:val="0"/>
                <w:caps w:val="0"/>
                <w:color w:val="16202A"/>
                <w:sz w:val="18"/>
              </w:rPr>
              <w:t xml:space="preserve">  Evaluating OpenAI Codex for Real-World Coding</w:t>
            </w:r>
          </w:p>
          <w:p>
            <w:pPr>
              <w:spacing w:before="0" w:after="100" w:line="264" w:lineRule="auto"/>
              <w:ind w:left="57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5B6670"/>
                <w:sz w:val="16"/>
              </w:rPr>
              <w:t>Intl. Conf. on Advances in Parallel Computing Technologies &amp; Applications · Jan 2022</w:t>
            </w:r>
          </w:p>
          <w:p>
            <w:pPr>
              <w:keepNext/>
              <w:spacing w:before="200" w:after="80" w:line="276" w:lineRule="auto"/>
              <w:pBdr>
                <w:bottom w:val="single" w:sz="4" w:space="1" w:color="DCDFE2"/>
              </w:pBdr>
            </w:pPr>
            <w:r>
              <w:rPr>
                <w:rFonts w:ascii="Calibri" w:hAnsi="Calibri" w:eastAsia="Calibri"/>
                <w:b/>
                <w:i w:val="0"/>
                <w:caps/>
                <w:color w:val="0E5A5C"/>
                <w:sz w:val="16"/>
                <w:spacing w:val="40"/>
              </w:rPr>
              <w:t>Research Supervision</w:t>
            </w:r>
          </w:p>
          <w:p>
            <w:pPr>
              <w:spacing w:before="0" w:after="60" w:line="283" w:lineRule="auto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333F4A"/>
                <w:sz w:val="18"/>
              </w:rPr>
              <w:t>Final-year capstone and project supervision since 2021 (DSATM, City Engineering College, T. John Institute of Technology), across applied machine learning, data engineering and intelligent systems. Teams are expected to produce a working artefact, a written report and a defensible evaluation — several capstones have grown out of the open-source teaching systems listed overleaf.</w:t>
            </w:r>
          </w:p>
          <w:p>
            <w:pPr>
              <w:keepNext/>
              <w:spacing w:before="200" w:after="80" w:line="276" w:lineRule="auto"/>
              <w:pBdr>
                <w:bottom w:val="single" w:sz="4" w:space="1" w:color="DCDFE2"/>
              </w:pBdr>
            </w:pPr>
            <w:r>
              <w:rPr>
                <w:rFonts w:ascii="Calibri" w:hAnsi="Calibri" w:eastAsia="Calibri"/>
                <w:b/>
                <w:i w:val="0"/>
                <w:caps/>
                <w:color w:val="0E5A5C"/>
                <w:sz w:val="16"/>
                <w:spacing w:val="40"/>
              </w:rPr>
              <w:t>Research Communication &amp; Outreach</w:t>
            </w:r>
          </w:p>
          <w:p>
            <w:pPr>
              <w:spacing w:before="0" w:after="60" w:line="276" w:lineRule="auto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333F4A"/>
                <w:sz w:val="17"/>
              </w:rPr>
              <w:t>I write and speak about AI for a general technical audience, which keeps my research legible outside the conference circuit.</w:t>
            </w:r>
          </w:p>
          <w:p>
            <w:pPr>
              <w:spacing w:before="0" w:after="50" w:line="264" w:lineRule="auto"/>
              <w:ind w:left="193" w:hanging="193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B8742A"/>
                <w:sz w:val="14"/>
              </w:rPr>
              <w:t xml:space="preserve">▪ </w:t>
            </w:r>
            <w:hyperlink r:id="rId21">
              <w:r>
                <w:rPr>
                  <w:rFonts w:ascii="Calibri" w:hAnsi="Calibri"/>
                  <w:color w:val="0E5A5C"/>
                  <w:b/>
                  <w:sz w:val="17"/>
                </w:rPr>
                <w:t xml:space="preserve">The Ghost in the Feed: Inside the First AI Civilization</w:t>
              </w:r>
            </w:hyperlink>
          </w:p>
          <w:p>
            <w:pPr>
              <w:spacing w:before="0" w:after="50" w:line="264" w:lineRule="auto"/>
              <w:ind w:left="193" w:hanging="193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B8742A"/>
                <w:sz w:val="14"/>
              </w:rPr>
              <w:t xml:space="preserve">▪ </w:t>
            </w:r>
            <w:hyperlink r:id="rId22">
              <w:r>
                <w:rPr>
                  <w:rFonts w:ascii="Calibri" w:hAnsi="Calibri"/>
                  <w:color w:val="0E5A5C"/>
                  <w:b/>
                  <w:sz w:val="17"/>
                </w:rPr>
                <w:t xml:space="preserve">Thermodynamic Computing: Extropic’s Chip and the Path to Efficient AI</w:t>
              </w:r>
            </w:hyperlink>
          </w:p>
          <w:p>
            <w:pPr>
              <w:spacing w:before="0" w:after="50" w:line="264" w:lineRule="auto"/>
              <w:ind w:left="193" w:hanging="193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B8742A"/>
                <w:sz w:val="14"/>
              </w:rPr>
              <w:t xml:space="preserve">▪ </w:t>
            </w:r>
            <w:hyperlink r:id="rId23">
              <w:r>
                <w:rPr>
                  <w:rFonts w:ascii="Calibri" w:hAnsi="Calibri"/>
                  <w:color w:val="0E5A5C"/>
                  <w:b/>
                  <w:sz w:val="17"/>
                </w:rPr>
                <w:t xml:space="preserve">The Patent Paradox: AI and the Future of Intellectual Property</w:t>
              </w:r>
            </w:hyperlink>
          </w:p>
          <w:p>
            <w:pPr>
              <w:spacing w:before="0" w:after="50" w:line="264" w:lineRule="auto"/>
              <w:ind w:left="193" w:hanging="193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B8742A"/>
                <w:sz w:val="14"/>
              </w:rPr>
              <w:t xml:space="preserve">▪ </w:t>
            </w:r>
            <w:hyperlink r:id="rId24">
              <w:r>
                <w:rPr>
                  <w:rFonts w:ascii="Calibri" w:hAnsi="Calibri"/>
                  <w:color w:val="0E5A5C"/>
                  <w:b/>
                  <w:sz w:val="17"/>
                </w:rPr>
                <w:t xml:space="preserve">Indian Academia’s Obsolete Secret</w:t>
              </w:r>
            </w:hyperlink>
          </w:p>
          <w:p>
            <w:pPr>
              <w:spacing w:before="0" w:after="50" w:line="264" w:lineRule="auto"/>
              <w:ind w:left="193" w:hanging="193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B8742A"/>
                <w:sz w:val="14"/>
              </w:rPr>
              <w:t xml:space="preserve">▪ </w:t>
            </w:r>
            <w:hyperlink r:id="rId25">
              <w:r>
                <w:rPr>
                  <w:rFonts w:ascii="Calibri" w:hAnsi="Calibri"/>
                  <w:color w:val="0E5A5C"/>
                  <w:b/>
                  <w:sz w:val="17"/>
                </w:rPr>
                <w:t xml:space="preserve">Scientific Papers are DOA</w:t>
              </w:r>
            </w:hyperlink>
          </w:p>
          <w:p>
            <w:pPr>
              <w:spacing w:before="40" w:after="60" w:line="276" w:lineRule="auto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5B6670"/>
                <w:sz w:val="17"/>
              </w:rPr>
              <w:t xml:space="preserve">Video explainers on the </w:t>
            </w:r>
            <w:hyperlink r:id="rId26">
              <w:r>
                <w:rPr>
                  <w:rFonts w:ascii="Calibri" w:hAnsi="Calibri"/>
                  <w:color w:val="0E5A5C"/>
                  <w:b/>
                  <w:sz w:val="17"/>
                </w:rPr>
                <w:t xml:space="preserve">Echoes of AI</w:t>
              </w:r>
            </w:hyperlink>
            <w:r>
              <w:rPr>
                <w:rFonts w:ascii="Calibri" w:hAnsi="Calibri" w:eastAsia="Calibri"/>
                <w:b w:val="0"/>
                <w:i w:val="0"/>
                <w:caps w:val="0"/>
                <w:color w:val="5B6670"/>
                <w:sz w:val="17"/>
              </w:rPr>
              <w:t xml:space="preserve"> YouTube channel.</w:t>
            </w:r>
          </w:p>
          <w:p>
            <w:pPr>
              <w:keepNext/>
              <w:spacing w:before="200" w:after="80" w:line="276" w:lineRule="auto"/>
              <w:pBdr>
                <w:bottom w:val="single" w:sz="4" w:space="1" w:color="DCDFE2"/>
              </w:pBdr>
            </w:pPr>
            <w:r>
              <w:rPr>
                <w:rFonts w:ascii="Calibri" w:hAnsi="Calibri" w:eastAsia="Calibri"/>
                <w:b/>
                <w:i w:val="0"/>
                <w:caps/>
                <w:color w:val="0E5A5C"/>
                <w:sz w:val="16"/>
                <w:spacing w:val="40"/>
              </w:rPr>
              <w:t>Collaboration Interests</w:t>
            </w:r>
          </w:p>
          <w:p>
            <w:pPr>
              <w:spacing w:before="0" w:after="0" w:line="283" w:lineRule="auto"/>
            </w:pPr>
            <w:r>
              <w:rPr>
                <w:rFonts w:ascii="Calibri" w:hAnsi="Calibri" w:eastAsia="Calibri"/>
                <w:b w:val="0"/>
                <w:i w:val="0"/>
                <w:caps w:val="0"/>
                <w:color w:val="333F4A"/>
                <w:sz w:val="18"/>
              </w:rPr>
              <w:t>Open to joint work on agent evaluation and LLM reliability, spatio-temporal modelling for biomedical signals, QoS in large-scale IoT deployments, and applied fairness auditing — particularly with industry partners who can supply real data and deployment constraints.</w:t>
            </w:r>
          </w:p>
        </w:tc>
      </w:tr>
    </w:tbl>
    <w:p>
      <w:pPr>
        <w:spacing w:before="0" w:after="0" w:line="20" w:lineRule="exact"/>
        <w:rPr>
          <w:sz w:val="2"/>
          <w:szCs w:val="2"/>
          <w:vanish/>
        </w:rPr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  <w:rPr>
        <w:sz w:val="2"/>
      </w:rPr>
    </w:pPr>
    <w:r xmlns:a="http://schemas.openxmlformats.org/drawingml/2006/main">
      <w:drawing>
        <wp:anchor distT="0" distB="0" distL="0" distR="0" simplePos="0" relativeHeight="0" behindDoc="1" locked="1" layoutInCell="0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2376000" cy="10692000"/>
          <wp:effectExtent l="0" t="0" r="0" b="0"/>
          <wp:wrapNone/>
          <wp:docPr id="99" name="SidebarStrip"/>
          <wp:cNvGraphicFramePr/>
          <a:graphic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2376000" cy="10692000"/>
                  </a:xfrm>
                  <a:prstGeom prst="rect">
                    <a:avLst/>
                  </a:prstGeom>
                  <a:solidFill>
                    <a:srgbClr val="F3F1EC"/>
                  </a:solidFill>
                  <a:ln w="6350">
                    <a:solidFill>
                      <a:srgbClr val="DCDFE2"/>
                    </a:solidFill>
                  </a:ln>
                </wps:spPr>
                <wps:bodyPr/>
              </wps:wsp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mailto:mahesh-csds@dsatm.edu.in" TargetMode="External"/><Relationship Id="rId13" Type="http://schemas.openxmlformats.org/officeDocument/2006/relationships/hyperlink" Target="mailto:BMaheshbasavaraj@gmail.com" TargetMode="External"/><Relationship Id="rId14" Type="http://schemas.openxmlformats.org/officeDocument/2006/relationships/hyperlink" Target="https://orcid.org/0000-0002-2242-212X" TargetMode="External"/><Relationship Id="rId15" Type="http://schemas.openxmlformats.org/officeDocument/2006/relationships/hyperlink" Target="https://scholar.google.com/citations?user=aANFb2EAAAAJ" TargetMode="External"/><Relationship Id="rId16" Type="http://schemas.openxmlformats.org/officeDocument/2006/relationships/hyperlink" Target="https://maheshbasavaraj.github.io/" TargetMode="External"/><Relationship Id="rId17" Type="http://schemas.openxmlformats.org/officeDocument/2006/relationships/hyperlink" Target="https://doi.org/10.1007/s40670-025-02618-y" TargetMode="External"/><Relationship Id="rId18" Type="http://schemas.openxmlformats.org/officeDocument/2006/relationships/hyperlink" Target="https://doi.org/10.59256/indjcst.20250402043" TargetMode="External"/><Relationship Id="rId19" Type="http://schemas.openxmlformats.org/officeDocument/2006/relationships/hyperlink" Target="https://github.com/maheshbasavaraj" TargetMode="External"/><Relationship Id="rId20" Type="http://schemas.openxmlformats.org/officeDocument/2006/relationships/hyperlink" Target="https://doi.org/10.1109/ICIICS67880.2026.11483407" TargetMode="External"/><Relationship Id="rId21" Type="http://schemas.openxmlformats.org/officeDocument/2006/relationships/hyperlink" Target="https://maheshbasavaraj.substack.com/p/the-ghost-in-the-feed-inside-the" TargetMode="External"/><Relationship Id="rId22" Type="http://schemas.openxmlformats.org/officeDocument/2006/relationships/hyperlink" Target="https://maheshbasavaraj.substack.com/p/thermodynamic-computing-extropics" TargetMode="External"/><Relationship Id="rId23" Type="http://schemas.openxmlformats.org/officeDocument/2006/relationships/hyperlink" Target="https://maheshbasavaraj.substack.com/p/the-patent-paradox-ai-and-the-future" TargetMode="External"/><Relationship Id="rId24" Type="http://schemas.openxmlformats.org/officeDocument/2006/relationships/hyperlink" Target="https://maheshbasavaraj.substack.com/p/indian-academias-obsolete-secret" TargetMode="External"/><Relationship Id="rId25" Type="http://schemas.openxmlformats.org/officeDocument/2006/relationships/hyperlink" Target="https://maheshbasavaraj.substack.com/p/scientific-papers-are-doa" TargetMode="External"/><Relationship Id="rId26" Type="http://schemas.openxmlformats.org/officeDocument/2006/relationships/hyperlink" Target="https://www.youtube.com/@MaheshBasavaraj-q4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Mahesh Basavaraj — Research Publications &amp; Patents</dc:title>
  <dc:subject/>
  <dc:creator>Mahesh Basavaraj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