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Ind w:w="0" w:type="dxa"/>
      </w:tblPr>
      <w:tblGrid>
        <w:gridCol w:w="3741"/>
        <w:gridCol w:w="8163"/>
      </w:tblGrid>
      <w:tr>
        <w:trPr>
          <w:trHeight w:val="16804" w:hRule="exact"/>
          <w:cantSplit/>
        </w:trPr>
        <w:tc>
          <w:tcPr>
            <w:tcW w:type="dxa" w:w="3741"/>
            <w:shd w:val="clear" w:color="auto" w:fill="F3F1EC"/>
            <w:tcBorders>
              <w:top w:val="nil"/>
              <w:left w:val="nil"/>
              <w:bottom w:val="nil"/>
              <w:right w:val="single" w:sz="4" w:color="DCDFE2"/>
            </w:tcBorders>
            <w:tcMar>
              <w:top w:w="737" w:type="dxa"/>
              <w:left w:w="567" w:type="dxa"/>
              <w:bottom w:w="453" w:type="dxa"/>
              <w:right w:w="340" w:type="dxa"/>
            </w:tcMar>
          </w:tcPr>
          <w:p>
            <w:pPr>
              <w:spacing w:before="0" w:after="12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28" w:lineRule="auto"/>
            </w:pPr>
            <w:r>
              <w:rPr>
                <w:rFonts w:ascii="Georgia" w:hAnsi="Georgia" w:eastAsia="Georgia"/>
                <w:b/>
                <w:i w:val="0"/>
                <w:caps w:val="0"/>
                <w:color w:val="16202A"/>
                <w:sz w:val="48"/>
              </w:rPr>
              <w:t>Mahesh</w:t>
            </w:r>
          </w:p>
          <w:p>
            <w:pPr>
              <w:spacing w:before="0" w:after="80" w:line="228" w:lineRule="auto"/>
            </w:pPr>
            <w:r>
              <w:rPr>
                <w:rFonts w:ascii="Georgia" w:hAnsi="Georgia" w:eastAsia="Georgia"/>
                <w:b/>
                <w:i w:val="0"/>
                <w:caps w:val="0"/>
                <w:color w:val="0E5A5C"/>
                <w:sz w:val="48"/>
              </w:rPr>
              <w:t>Basavaraj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/>
                <w:color w:val="B8742A"/>
                <w:sz w:val="16"/>
                <w:spacing w:val="10"/>
              </w:rPr>
              <w:t>AI Researcher · Educator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Location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16202A"/>
                <w:sz w:val="17"/>
              </w:rPr>
              <w:t>Bengaluru, Karnataka, India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Phone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16202A"/>
                <w:sz w:val="17"/>
              </w:rPr>
              <w:t>+91 98866 42542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Email</w:t>
            </w:r>
          </w:p>
          <w:p>
            <w:pPr>
              <w:spacing w:before="0" w:after="60" w:line="276" w:lineRule="auto"/>
            </w:pPr>
            <w:hyperlink r:id="rId12">
              <w:r>
                <w:rPr>
                  <w:rFonts w:ascii="Calibri" w:hAnsi="Calibri"/>
                  <w:color w:val="16202A"/>
                  <w:sz w:val="17"/>
                </w:rPr>
                <w:t xml:space="preserve">mahesh-csds@dsatm.edu.in</w:t>
              </w:r>
            </w:hyperlink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Email</w:t>
            </w:r>
          </w:p>
          <w:p>
            <w:pPr>
              <w:spacing w:before="0" w:after="60" w:line="276" w:lineRule="auto"/>
            </w:pPr>
            <w:hyperlink r:id="rId13">
              <w:r>
                <w:rPr>
                  <w:rFonts w:ascii="Calibri" w:hAnsi="Calibri"/>
                  <w:color w:val="16202A"/>
                  <w:sz w:val="17"/>
                </w:rPr>
                <w:t xml:space="preserve">BMaheshbasavaraj@gmail.com</w:t>
              </w:r>
            </w:hyperlink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ORCID</w:t>
            </w:r>
          </w:p>
          <w:p>
            <w:pPr>
              <w:spacing w:before="0" w:after="60" w:line="276" w:lineRule="auto"/>
            </w:pPr>
            <w:hyperlink r:id="rId14">
              <w:r>
                <w:rPr>
                  <w:rFonts w:ascii="Calibri" w:hAnsi="Calibri"/>
                  <w:color w:val="16202A"/>
                  <w:sz w:val="16"/>
                </w:rPr>
                <w:t xml:space="preserve">0000-0002-2242-212X</w:t>
              </w:r>
            </w:hyperlink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Google Scholar</w:t>
            </w:r>
          </w:p>
          <w:p>
            <w:pPr>
              <w:spacing w:before="0" w:after="60" w:line="276" w:lineRule="auto"/>
            </w:pPr>
            <w:hyperlink r:id="rId15">
              <w:r>
                <w:rPr>
                  <w:rFonts w:ascii="Calibri" w:hAnsi="Calibri"/>
                  <w:color w:val="16202A"/>
                  <w:sz w:val="16"/>
                </w:rPr>
                <w:t xml:space="preserve">aANFb2EAAAAJ</w:t>
              </w:r>
            </w:hyperlink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Scopus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16202A"/>
                <w:sz w:val="16"/>
              </w:rPr>
              <w:t>60345533200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Website</w:t>
            </w:r>
          </w:p>
          <w:p>
            <w:pPr>
              <w:spacing w:before="0" w:after="60" w:line="276" w:lineRule="auto"/>
            </w:pPr>
            <w:hyperlink r:id="rId16">
              <w:r>
                <w:rPr>
                  <w:rFonts w:ascii="Calibri" w:hAnsi="Calibri"/>
                  <w:color w:val="16202A"/>
                  <w:sz w:val="16"/>
                </w:rPr>
                <w:t xml:space="preserve">maheshbasavaraj.github.io</w:t>
              </w:r>
            </w:hyperlink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At a glance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70"/>
              <w:gridCol w:w="1870"/>
            </w:tblGrid>
            <w:tr>
              <w:tc>
                <w:tcPr>
                  <w:tcW w:type="dxa" w:w="141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Georgia" w:hAnsi="Georgia" w:eastAsia="Georgia"/>
                      <w:b/>
                      <w:i w:val="0"/>
                      <w:caps w:val="0"/>
                      <w:color w:val="0E5A5C"/>
                      <w:sz w:val="32"/>
                    </w:rPr>
                    <w:t>11</w:t>
                  </w:r>
                </w:p>
                <w:p>
                  <w:pPr>
                    <w:spacing w:before="0" w:after="8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aps w:val="0"/>
                      <w:color w:val="5B6670"/>
                      <w:sz w:val="14"/>
                    </w:rPr>
                    <w:t>peer-reviewed papers</w:t>
                  </w:r>
                </w:p>
              </w:tc>
              <w:tc>
                <w:tcPr>
                  <w:tcW w:type="dxa" w:w="141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Georgia" w:hAnsi="Georgia" w:eastAsia="Georgia"/>
                      <w:b/>
                      <w:i w:val="0"/>
                      <w:caps w:val="0"/>
                      <w:color w:val="0E5A5C"/>
                      <w:sz w:val="32"/>
                    </w:rPr>
                    <w:t>4</w:t>
                  </w:r>
                </w:p>
                <w:p>
                  <w:pPr>
                    <w:spacing w:before="0" w:after="8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aps w:val="0"/>
                      <w:color w:val="5B6670"/>
                      <w:sz w:val="14"/>
                    </w:rPr>
                    <w:t>patents &amp; applications</w:t>
                  </w:r>
                </w:p>
              </w:tc>
            </w:tr>
            <w:tr>
              <w:tc>
                <w:tcPr>
                  <w:tcW w:type="dxa" w:w="141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Georgia" w:hAnsi="Georgia" w:eastAsia="Georgia"/>
                      <w:b/>
                      <w:i w:val="0"/>
                      <w:caps w:val="0"/>
                      <w:color w:val="0E5A5C"/>
                      <w:sz w:val="32"/>
                    </w:rPr>
                    <w:t>4</w:t>
                  </w:r>
                </w:p>
                <w:p>
                  <w:pPr>
                    <w:spacing w:before="0" w:after="8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aps w:val="0"/>
                      <w:color w:val="5B6670"/>
                      <w:sz w:val="14"/>
                    </w:rPr>
                    <w:t>journal articles</w:t>
                  </w:r>
                </w:p>
              </w:tc>
              <w:tc>
                <w:tcPr>
                  <w:tcW w:type="dxa" w:w="141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Georgia" w:hAnsi="Georgia" w:eastAsia="Georgia"/>
                      <w:b/>
                      <w:i w:val="0"/>
                      <w:caps w:val="0"/>
                      <w:color w:val="0E5A5C"/>
                      <w:sz w:val="32"/>
                    </w:rPr>
                    <w:t>7</w:t>
                  </w:r>
                </w:p>
                <w:p>
                  <w:pPr>
                    <w:spacing w:before="0" w:after="8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aps w:val="0"/>
                      <w:color w:val="5B6670"/>
                      <w:sz w:val="14"/>
                    </w:rPr>
                    <w:t>conference papers</w:t>
                  </w:r>
                </w:p>
              </w:tc>
            </w:tr>
          </w:tbl>
          <w:p/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Areas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Agentic AI &amp; LLM systems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Spatio-temporal &amp; attention models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EEG &amp; brain–computer interfaces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Cognitive IoT &amp; cross-layer optimisation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Responsible AI &amp; fairness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Anomaly detection</w:t>
            </w:r>
          </w:p>
        </w:tc>
        <w:tc>
          <w:tcPr>
            <w:tcW w:type="dxa" w:w="8163"/>
            <w:tcMar>
              <w:top w:w="737" w:type="dxa"/>
              <w:left w:w="510" w:type="dxa"/>
              <w:bottom w:w="453" w:type="dxa"/>
              <w:right w:w="623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0" w:after="80" w:line="276" w:lineRule="auto"/>
              <w:pBdr>
                <w:bottom w:val="single" w:sz="4" w:space="1" w:color="DCDFE2"/>
              </w:pBdr>
            </w:pPr>
            <w:r>
              <w:rPr>
                <w:rFonts w:ascii="Georgia" w:hAnsi="Georgia" w:eastAsia="Georgia"/>
                <w:b/>
                <w:i w:val="0"/>
                <w:caps w:val="0"/>
                <w:color w:val="16202A"/>
                <w:sz w:val="34"/>
              </w:rPr>
              <w:t>Research Publications &amp; Patents</w:t>
            </w: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Profile</w:t>
            </w:r>
          </w:p>
          <w:p>
            <w:pPr>
              <w:spacing w:before="0" w:after="120" w:line="276" w:lineRule="auto"/>
            </w:pPr>
            <w:r>
              <w:rPr>
                <w:rFonts w:ascii="Calibri" w:hAnsi="Calibri" w:eastAsia="Calibri"/>
                <w:b/>
                <w:i w:val="0"/>
                <w:caps/>
                <w:color w:val="B8742A"/>
                <w:sz w:val="15"/>
                <w:spacing w:val="12"/>
              </w:rPr>
              <w:t>Assistant Professor, Computer Science — UNSW Bengaluru Campus</w:t>
            </w:r>
          </w:p>
          <w:p>
            <w:pPr>
              <w:spacing w:before="0" w:after="100" w:line="288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8"/>
              </w:rPr>
              <w:t>My research asks how intelligent systems can be made reliable and useful outside the laboratory: how agentic systems built on large language models coordinate to solve multi-step problems, how deep models recover structure from noisy spatio-temporal signals, and how constrained networked devices share resources fairly. The work is deliberately applied. It has produced three utility patents and a published application, and it is shaped by eight years of building production software before I moved into academia. Current threads are the evaluation and reliability of LLM-based agents, attention architectures for EEG and motor-imagery decoding, cross-layer optimisation in heterogeneous IoT, and fairness in deployed machine-learning models.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Selected Contributions</w:t>
            </w:r>
          </w:p>
          <w:p>
            <w:pPr>
              <w:spacing w:before="0" w:after="40" w:line="269" w:lineRule="auto"/>
              <w:ind w:left="204" w:hanging="20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Multi-scale spatio-temporal attention for motor-imagery decoding — a network combining frequency–spatial parallel attention with multi-scale temporal modelling (IEEE ICIICS 2026).</w:t>
            </w:r>
          </w:p>
          <w:p>
            <w:pPr>
              <w:spacing w:before="0" w:after="40" w:line="269" w:lineRule="auto"/>
              <w:ind w:left="204" w:hanging="20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Lightweight multi-agent Q-learning for wireless IoT — cross-layer optimisation that balances energy across heterogeneous devices without central coordination (IEEE ICMNWC 2025).</w:t>
            </w:r>
          </w:p>
          <w:p>
            <w:pPr>
              <w:spacing w:before="0" w:after="40" w:line="269" w:lineRule="auto"/>
              <w:ind w:left="204" w:hanging="20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Agentic LLM systems as a route to general intelligence — a collaborative multi-agent framework analysed against SayCan, ChatDev and Devin (INDJCST 2025).</w:t>
            </w:r>
          </w:p>
          <w:p>
            <w:pPr>
              <w:spacing w:before="0" w:after="40" w:line="269" w:lineRule="auto"/>
              <w:ind w:left="204" w:hanging="20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Fairness in deployed models — a patented framework for bias mitigation and fairness verification in machine-learning pipelines (2026).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Journal Articles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Medical Science Educator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Comment on “Incorporating Artificial Intelligence in Qualitative Research: Exploring the Role of ChatGPT in Thematic Analysis”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Vol. 36, Issue 2, pp. 1063–1064 · 2026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/>
                <w:i w:val="0"/>
                <w:caps w:val="0"/>
                <w:color w:val="5B6670"/>
                <w:sz w:val="14"/>
              </w:rPr>
              <w:t xml:space="preserve">DOI </w:t>
            </w:r>
            <w:hyperlink r:id="rId17">
              <w:r>
                <w:rPr>
                  <w:rFonts w:ascii="Calibri" w:hAnsi="Calibri"/>
                  <w:color w:val="0E5A5C"/>
                  <w:sz w:val="15"/>
                </w:rPr>
                <w:t xml:space="preserve">10.1007/s40670-025-02618-y</w:t>
              </w:r>
            </w:hyperlink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S. Banerjee, I. H. Madar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J. Neurological Sciences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Comment on “Improving care for amyotrophic lateral sclerosis with artificial intelligence and affective computing”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Vol. 486 · 2026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S. U. Adhyapak, P. Mishra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INDJCST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Agentic Approach in the Quest for AGI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Indian Journal of Computer Science and Technology, pp. 279–289 · 2025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/>
                <w:i w:val="0"/>
                <w:caps w:val="0"/>
                <w:color w:val="5B6670"/>
                <w:sz w:val="14"/>
              </w:rPr>
              <w:t xml:space="preserve">DOI </w:t>
            </w:r>
            <w:hyperlink r:id="rId18">
              <w:r>
                <w:rPr>
                  <w:rFonts w:ascii="Calibri" w:hAnsi="Calibri"/>
                  <w:color w:val="0E5A5C"/>
                  <w:sz w:val="15"/>
                </w:rPr>
                <w:t xml:space="preserve">10.59256/indjcst.20250402043</w:t>
              </w:r>
            </w:hyperlink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IRJET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A Review of Deep Learning Techniques in Detection of Anomaly in Credit Card Transactions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Vol. 9, Issue 9 · 2022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Patents</w:t>
            </w:r>
          </w:p>
          <w:p>
            <w:pPr>
              <w:tabs>
                <w:tab w:pos="454" w:val="left"/>
              </w:tabs>
              <w:spacing w:before="0" w:after="0" w:line="274" w:lineRule="auto"/>
              <w:ind w:left="454" w:hanging="454"/>
            </w:pPr>
            <w:r>
              <w:rPr>
                <w:rFonts w:ascii="Calibri" w:hAnsi="Calibri" w:eastAsia="Calibri"/>
                <w:b/>
                <w:i w:val="0"/>
                <w:caps w:val="0"/>
                <w:color w:val="B8742A"/>
                <w:sz w:val="21"/>
              </w:rPr>
              <w:t>01</w:t>
              <w:tab/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>A Bulk Silkworm Cocoon Inspection and Assisted Sorting Machine Using Shallow-Layer Conveyor Spreading</w:t>
            </w:r>
          </w:p>
          <w:p>
            <w:pPr>
              <w:spacing w:before="0" w:after="100" w:line="264" w:lineRule="auto"/>
              <w:ind w:left="45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Utility patent · 2026</w:t>
            </w:r>
          </w:p>
          <w:p>
            <w:pPr>
              <w:tabs>
                <w:tab w:pos="454" w:val="left"/>
              </w:tabs>
              <w:spacing w:before="0" w:after="0" w:line="274" w:lineRule="auto"/>
              <w:ind w:left="454" w:hanging="454"/>
            </w:pPr>
            <w:r>
              <w:rPr>
                <w:rFonts w:ascii="Calibri" w:hAnsi="Calibri" w:eastAsia="Calibri"/>
                <w:b/>
                <w:i w:val="0"/>
                <w:caps w:val="0"/>
                <w:color w:val="B8742A"/>
                <w:sz w:val="21"/>
              </w:rPr>
              <w:t>02</w:t>
              <w:tab/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>Adaptive Quality of Service Management System for Heterogeneous Internet of Things Networks</w:t>
            </w:r>
          </w:p>
          <w:p>
            <w:pPr>
              <w:spacing w:before="0" w:after="100" w:line="264" w:lineRule="auto"/>
              <w:ind w:left="45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Utility patent · 2026</w:t>
            </w:r>
          </w:p>
          <w:p>
            <w:pPr>
              <w:tabs>
                <w:tab w:pos="454" w:val="left"/>
              </w:tabs>
              <w:spacing w:before="0" w:after="0" w:line="274" w:lineRule="auto"/>
              <w:ind w:left="454" w:hanging="454"/>
            </w:pPr>
            <w:r>
              <w:rPr>
                <w:rFonts w:ascii="Calibri" w:hAnsi="Calibri" w:eastAsia="Calibri"/>
                <w:b/>
                <w:i w:val="0"/>
                <w:caps w:val="0"/>
                <w:color w:val="B8742A"/>
                <w:sz w:val="21"/>
              </w:rPr>
              <w:t>03</w:t>
              <w:tab/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>Ethical and Responsible AI: Bias Mitigation and Fairness in Machine Learning Models</w:t>
            </w:r>
          </w:p>
          <w:p>
            <w:pPr>
              <w:spacing w:before="0" w:after="100" w:line="264" w:lineRule="auto"/>
              <w:ind w:left="45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Utility patent · 2026</w:t>
            </w:r>
          </w:p>
          <w:p>
            <w:pPr>
              <w:tabs>
                <w:tab w:pos="454" w:val="left"/>
              </w:tabs>
              <w:spacing w:before="0" w:after="0" w:line="274" w:lineRule="auto"/>
              <w:ind w:left="454" w:hanging="454"/>
            </w:pPr>
            <w:r>
              <w:rPr>
                <w:rFonts w:ascii="Calibri" w:hAnsi="Calibri" w:eastAsia="Calibri"/>
                <w:b/>
                <w:i w:val="0"/>
                <w:caps w:val="0"/>
                <w:color w:val="B8742A"/>
                <w:sz w:val="21"/>
              </w:rPr>
              <w:t>04</w:t>
              <w:tab/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16202A"/>
                <w:sz w:val="18"/>
              </w:rPr>
              <w:t>Cloud-based Social Virtual Reality IoT Network with Device Synchronization Between Real and Virtual Worlds</w:t>
            </w:r>
          </w:p>
          <w:p>
            <w:pPr>
              <w:spacing w:before="0" w:after="100" w:line="264" w:lineRule="auto"/>
              <w:ind w:left="45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Published application 202441098998 · filed 14 Dec 2024, published 20 Dec 2024</w:t>
            </w:r>
          </w:p>
        </w:tc>
      </w:tr>
      <w:tr>
        <w:trPr>
          <w:trHeight w:val="16271" w:hRule="exact"/>
          <w:cantSplit/>
        </w:trPr>
        <w:tc>
          <w:tcPr>
            <w:tcW w:type="dxa" w:w="3741"/>
            <w:shd w:val="clear" w:color="auto" w:fill="F3F1EC"/>
            <w:tcBorders>
              <w:top w:val="nil"/>
              <w:left w:val="nil"/>
              <w:bottom w:val="nil"/>
              <w:right w:val="single" w:sz="4" w:color="DCDFE2"/>
            </w:tcBorders>
            <w:tcMar>
              <w:top w:w="737" w:type="dxa"/>
              <w:left w:w="567" w:type="dxa"/>
              <w:bottom w:w="453" w:type="dxa"/>
              <w:right w:w="340" w:type="dxa"/>
            </w:tcMar>
          </w:tcPr>
          <w:p>
            <w:pPr>
              <w:keepNext/>
              <w:spacing w:before="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Doctoral Research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Ph.D. in Computer Science &amp; Engineering, Visvesvaraya Technological University (enrolled 2023), in applied deep learning and intelligent systems. Supervised through DSATM, Bengaluru.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Training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Deep Learning — Elite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NPTEL · 2025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Blockchain Technology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NPTEL · 2025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Data Analytics with Python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NPTEL · 2024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Machine Learning &amp; NLP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Infosys Springboard FDP · 2025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Cyber Security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AICTE · VTU FDP · 2023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Reproducibility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 xml:space="preserve">Research code and teaching systems are public at </w:t>
            </w:r>
            <w:hyperlink r:id="rId19">
              <w:r>
                <w:rPr>
                  <w:rFonts w:ascii="Calibri" w:hAnsi="Calibri"/>
                  <w:color w:val="0E5A5C"/>
                  <w:b/>
                  <w:sz w:val="16"/>
                </w:rPr>
                <w:t xml:space="preserve">github.com/maheshbasavaraj</w:t>
              </w:r>
            </w:hyperlink>
          </w:p>
        </w:tc>
        <w:tc>
          <w:tcPr>
            <w:tcW w:type="dxa" w:w="8163"/>
            <w:tcMar>
              <w:top w:w="737" w:type="dxa"/>
              <w:left w:w="510" w:type="dxa"/>
              <w:bottom w:w="453" w:type="dxa"/>
              <w:right w:w="623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Conference Papers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ICIICS 2026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Multi-Scale Spatio-Temporal Network with Frequency–Spatial Parallel Attention for Motor Imagery Classification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3rd Intl. Conf. on Integrated Intelligence and Communication Systems, pp. 1–7 · May 2026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/>
                <w:i w:val="0"/>
                <w:caps w:val="0"/>
                <w:color w:val="5B6670"/>
                <w:sz w:val="14"/>
              </w:rPr>
              <w:t xml:space="preserve">DOI </w:t>
            </w:r>
            <w:hyperlink r:id="rId20">
              <w:r>
                <w:rPr>
                  <w:rFonts w:ascii="Calibri" w:hAnsi="Calibri"/>
                  <w:color w:val="0E5A5C"/>
                  <w:sz w:val="15"/>
                </w:rPr>
                <w:t xml:space="preserve">10.1109/ICIICS67880.2026.11483407</w:t>
              </w:r>
            </w:hyperlink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R. A. M. Sait, B. Y. Vineetha, G. Priyadharshini, N. Sitanshu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ICIICS 2026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Predictive Mobility-Aware Cognitive Medium Access Control for Underwater Vehicle Communication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3rd Intl. Conf. on Integrated Intelligence and Communication Systems · 2026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P. Maderamitla, J. Ulaganathan, G. Bindu, K. Anguraj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ICBDML 2026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Harnessing Large Language Models for Next-Generation Artificial Intelligence Applications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2nd Intl. Conf. on Big Data and Machine Learning · Feb 2026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N. Garg, S. Yangalasetty, T. Vangalapat, M. Kumari, M. Gupta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IEEE ICMNWC 2025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Lightweight Multi-Agent Q-learning Cross-Layer Optimization in Wireless IoT Networks for Balanced Energy Utilization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IEEE Intl. Conf. on Modelling, Networks and Wireless Communication · Dec 2025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ICEASD 2024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Using AI Agents Built on LLMs for Building AGI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Intl. Conf. on Engineering Advancements and Sustainable Development, JETIR Vol. 11, Issue 5 · May 2024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ICAMSnT 2023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The Alignment Problem in AI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Intl. Conf. on Advances in Modern Science and Technology · Apr 2023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ICAPCTA 2022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Evaluating OpenAI Codex for Real-World Coding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Intl. Conf. on Advances in Parallel Computing Technologies &amp; Applications · Jan 2022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Supervision</w:t>
            </w:r>
          </w:p>
          <w:p>
            <w:pPr>
              <w:spacing w:before="0" w:after="60" w:line="283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8"/>
              </w:rPr>
              <w:t>Final-year capstone and project supervision since 2021 (DSATM, City Engineering College, T. John Institute of Technology), across applied machine learning, data engineering and intelligent systems. Teams are expected to produce a working artefact, a written report and a defensible evaluation — several capstones have grown out of the open-source teaching systems listed overleaf.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Communication &amp; Outreach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I write and speak about AI for a general technical audience, which keeps my research legible outside the conference circuit.</w:t>
            </w:r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1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The Ghost in the Feed: Inside the First AI Civilization</w:t>
              </w:r>
            </w:hyperlink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2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Thermodynamic Computing: Extropic’s Chip and the Path to Efficient AI</w:t>
              </w:r>
            </w:hyperlink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3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The Patent Paradox: AI and the Future of Intellectual Property</w:t>
              </w:r>
            </w:hyperlink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4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Indian Academia’s Obsolete Secret</w:t>
              </w:r>
            </w:hyperlink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5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Scientific Papers are DOA</w:t>
              </w:r>
            </w:hyperlink>
          </w:p>
          <w:p>
            <w:pPr>
              <w:spacing w:before="4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7"/>
              </w:rPr>
              <w:t xml:space="preserve">Video explainers on the </w:t>
            </w:r>
            <w:hyperlink r:id="rId26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Echoes of AI</w:t>
              </w:r>
            </w:hyperlink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7"/>
              </w:rPr>
              <w:t xml:space="preserve"> YouTube channel.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Collaboration Interests</w:t>
            </w:r>
          </w:p>
          <w:p>
            <w:pPr>
              <w:spacing w:before="0" w:after="0" w:line="283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8"/>
              </w:rPr>
              <w:t>Open to joint work on agent evaluation and LLM reliability, spatio-temporal modelling for biomedical signals, QoS in large-scale IoT deployments, and applied fairness auditing — particularly with industry partners who can supply real data and deployment constraints.</w:t>
            </w:r>
          </w:p>
        </w:tc>
      </w:tr>
    </w:tbl>
    <w:p>
      <w:pPr>
        <w:spacing w:before="0" w:after="0" w:line="20" w:lineRule="exact"/>
        <w:rPr>
          <w:sz w:val="2"/>
          <w:szCs w:val="2"/>
          <w:vanish/>
        </w:rP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rPr>
        <w:sz w:val="2"/>
      </w:rPr>
    </w:pPr>
    <w:r xmlns:a="http://schemas.openxmlformats.org/drawingml/2006/main">
      <w:drawing>
        <wp:anchor distT="0" distB="0" distL="0" distR="0" simplePos="0" relativeHeight="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376000" cy="10692000"/>
          <wp:effectExtent l="0" t="0" r="0" b="0"/>
          <wp:wrapNone/>
          <wp:docPr id="99" name="SidebarStrip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376000" cy="10692000"/>
                  </a:xfrm>
                  <a:prstGeom prst="rect">
                    <a:avLst/>
                  </a:prstGeom>
                  <a:solidFill>
                    <a:srgbClr val="F3F1EC"/>
                  </a:solidFill>
                  <a:ln w="6350">
                    <a:solidFill>
                      <a:srgbClr val="DCDFE2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mailto:mahesh-csds@dsatm.edu.in" TargetMode="External"/><Relationship Id="rId13" Type="http://schemas.openxmlformats.org/officeDocument/2006/relationships/hyperlink" Target="mailto:BMaheshbasavaraj@gmail.com" TargetMode="External"/><Relationship Id="rId14" Type="http://schemas.openxmlformats.org/officeDocument/2006/relationships/hyperlink" Target="https://orcid.org/0000-0002-2242-212X" TargetMode="External"/><Relationship Id="rId15" Type="http://schemas.openxmlformats.org/officeDocument/2006/relationships/hyperlink" Target="https://scholar.google.com/citations?user=aANFb2EAAAAJ" TargetMode="External"/><Relationship Id="rId16" Type="http://schemas.openxmlformats.org/officeDocument/2006/relationships/hyperlink" Target="https://maheshbasavaraj.github.io/" TargetMode="External"/><Relationship Id="rId17" Type="http://schemas.openxmlformats.org/officeDocument/2006/relationships/hyperlink" Target="https://doi.org/10.1007/s40670-025-02618-y" TargetMode="External"/><Relationship Id="rId18" Type="http://schemas.openxmlformats.org/officeDocument/2006/relationships/hyperlink" Target="https://doi.org/10.59256/indjcst.20250402043" TargetMode="External"/><Relationship Id="rId19" Type="http://schemas.openxmlformats.org/officeDocument/2006/relationships/hyperlink" Target="https://github.com/maheshbasavaraj" TargetMode="External"/><Relationship Id="rId20" Type="http://schemas.openxmlformats.org/officeDocument/2006/relationships/hyperlink" Target="https://doi.org/10.1109/ICIICS67880.2026.11483407" TargetMode="External"/><Relationship Id="rId21" Type="http://schemas.openxmlformats.org/officeDocument/2006/relationships/hyperlink" Target="https://maheshbasavaraj.substack.com/p/the-ghost-in-the-feed-inside-the" TargetMode="External"/><Relationship Id="rId22" Type="http://schemas.openxmlformats.org/officeDocument/2006/relationships/hyperlink" Target="https://maheshbasavaraj.substack.com/p/thermodynamic-computing-extropics" TargetMode="External"/><Relationship Id="rId23" Type="http://schemas.openxmlformats.org/officeDocument/2006/relationships/hyperlink" Target="https://maheshbasavaraj.substack.com/p/the-patent-paradox-ai-and-the-future" TargetMode="External"/><Relationship Id="rId24" Type="http://schemas.openxmlformats.org/officeDocument/2006/relationships/hyperlink" Target="https://maheshbasavaraj.substack.com/p/indian-academias-obsolete-secret" TargetMode="External"/><Relationship Id="rId25" Type="http://schemas.openxmlformats.org/officeDocument/2006/relationships/hyperlink" Target="https://maheshbasavaraj.substack.com/p/scientific-papers-are-doa" TargetMode="External"/><Relationship Id="rId26" Type="http://schemas.openxmlformats.org/officeDocument/2006/relationships/hyperlink" Target="https://www.youtube.com/@MaheshBasavaraj-q4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Mahesh Basavaraj — Research Publications &amp; Patents</dc:title>
  <dc:subject/>
  <dc:creator>Mahesh Basavaraj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