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64746D"/>
          <w:sz w:val="20"/>
        </w:rPr>
        <w:t>FUNDSROOM RECRUITMENT — ROUND 1 TECHNICAL CASE STUDY</w:t>
      </w:r>
    </w:p>
    <w:p>
      <w:pPr>
        <w:spacing w:after="80"/>
        <w:jc w:val="center"/>
      </w:pPr>
      <w:r>
        <w:rPr>
          <w:rFonts w:ascii="Calibri" w:hAnsi="Calibri"/>
          <w:b/>
          <w:color w:val="102A22"/>
          <w:sz w:val="36"/>
        </w:rPr>
        <w:t>Mini ERP + CRM Operations Portal</w:t>
        <w:br/>
        <w:t>Full-Stack Technical Solution &amp; Architecture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0F4F2"/>
          </w:tcPr>
          <w:p>
            <w:pPr>
              <w:spacing w:after="40" w:before="40"/>
            </w:pPr>
            <w:r>
              <w:rPr>
                <w:b/>
                <w:color w:val="102A22"/>
                <w:sz w:val="19"/>
              </w:rPr>
              <w:t>Candidate Name: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40" w:before="40"/>
            </w:pPr>
            <w:r>
              <w:rPr>
                <w:color w:val="17201D"/>
                <w:sz w:val="19"/>
              </w:rPr>
              <w:t>Mahesh B K</w:t>
            </w:r>
          </w:p>
        </w:tc>
      </w:tr>
      <w:tr>
        <w:tc>
          <w:tcPr>
            <w:tcW w:type="dxa" w:w="5040"/>
            <w:vAlign w:val="center"/>
            <w:shd w:fill="F0F4F2"/>
          </w:tcPr>
          <w:p>
            <w:pPr>
              <w:spacing w:after="40" w:before="40"/>
            </w:pPr>
            <w:r>
              <w:rPr>
                <w:b/>
                <w:color w:val="102A22"/>
                <w:sz w:val="19"/>
              </w:rPr>
              <w:t>University Roll Number: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40" w:before="40"/>
            </w:pPr>
            <w:r>
              <w:rPr>
                <w:color w:val="17201D"/>
                <w:sz w:val="19"/>
              </w:rPr>
              <w:t>2023006427</w:t>
            </w:r>
          </w:p>
        </w:tc>
      </w:tr>
      <w:tr>
        <w:tc>
          <w:tcPr>
            <w:tcW w:type="dxa" w:w="5040"/>
            <w:vAlign w:val="center"/>
            <w:shd w:fill="F0F4F2"/>
          </w:tcPr>
          <w:p>
            <w:pPr>
              <w:spacing w:after="40" w:before="40"/>
            </w:pPr>
            <w:r>
              <w:rPr>
                <w:b/>
                <w:color w:val="102A22"/>
                <w:sz w:val="19"/>
              </w:rPr>
              <w:t>GITAM Official Email ID: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40" w:before="40"/>
            </w:pPr>
            <w:r>
              <w:rPr>
                <w:color w:val="17201D"/>
                <w:sz w:val="19"/>
              </w:rPr>
              <w:t>mbk@gitam.in</w:t>
            </w:r>
          </w:p>
        </w:tc>
      </w:tr>
      <w:tr>
        <w:tc>
          <w:tcPr>
            <w:tcW w:type="dxa" w:w="5040"/>
            <w:vAlign w:val="center"/>
            <w:shd w:fill="F0F4F2"/>
          </w:tcPr>
          <w:p>
            <w:pPr>
              <w:spacing w:after="40" w:before="40"/>
            </w:pPr>
            <w:r>
              <w:rPr>
                <w:b/>
                <w:color w:val="102A22"/>
                <w:sz w:val="19"/>
              </w:rPr>
              <w:t>Personal Email ID: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40" w:before="40"/>
            </w:pPr>
            <w:r>
              <w:rPr>
                <w:color w:val="17201D"/>
                <w:sz w:val="19"/>
              </w:rPr>
              <w:t>maheshbk1805@gmail.com</w:t>
            </w:r>
          </w:p>
        </w:tc>
      </w:tr>
      <w:tr>
        <w:tc>
          <w:tcPr>
            <w:tcW w:type="dxa" w:w="5040"/>
            <w:vAlign w:val="center"/>
            <w:shd w:fill="F0F4F2"/>
          </w:tcPr>
          <w:p>
            <w:pPr>
              <w:spacing w:after="40" w:before="40"/>
            </w:pPr>
            <w:r>
              <w:rPr>
                <w:b/>
                <w:color w:val="102A22"/>
                <w:sz w:val="19"/>
              </w:rPr>
              <w:t>GitHub Repository URL: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40" w:before="40"/>
            </w:pPr>
            <w:r>
              <w:rPr>
                <w:b/>
                <w:color w:val="196F50"/>
                <w:sz w:val="19"/>
              </w:rPr>
              <w:t>https://github.com/maheshbk1805-web/fundsroom-mini-erp-crm</w:t>
            </w:r>
          </w:p>
        </w:tc>
      </w:tr>
    </w:tbl>
    <w:p>
      <w:pPr>
        <w:spacing w:after="120"/>
      </w:pPr>
    </w:p>
    <w:p>
      <w:pPr>
        <w:keepNext/>
        <w:spacing w:before="280" w:after="100"/>
      </w:pPr>
      <w:r>
        <w:rPr>
          <w:rFonts w:ascii="Calibri" w:hAnsi="Calibri"/>
          <w:b/>
          <w:color w:val="102A22"/>
          <w:sz w:val="30"/>
        </w:rPr>
        <w:t>1. Executive Summary &amp; Business Context</w:t>
      </w:r>
    </w:p>
    <w:p>
      <w:pPr>
        <w:spacing w:before="40" w:after="80" w:line="276" w:lineRule="auto"/>
      </w:pPr>
      <w:r>
        <w:rPr>
          <w:rFonts w:ascii="Calibri" w:hAnsi="Calibri"/>
          <w:color w:val="17201D"/>
          <w:sz w:val="20"/>
        </w:rPr>
        <w:t>This document presents the complete engineering solution for the Fundsroom Full Stack Developer Case Study: a production-grade Mini ERP + CRM Operations Portal developed for a wholesale distribution enterprise. The enterprise model requires coordinating client acquisition, catalog inventory with alert thresholds, tamper-evident stock movement logs, and sales delivery challans.</w:t>
      </w:r>
    </w:p>
    <w:p>
      <w:pPr>
        <w:spacing w:before="40" w:after="80" w:line="276" w:lineRule="auto"/>
      </w:pPr>
      <w:r>
        <w:rPr>
          <w:rFonts w:ascii="Calibri" w:hAnsi="Calibri"/>
          <w:color w:val="17201D"/>
          <w:sz w:val="20"/>
        </w:rPr>
        <w:t>Key engineering achievements in this submission include: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7201D"/>
          <w:sz w:val="19"/>
        </w:rPr>
        <w:t xml:space="preserve">• Role-Driven Architecture: </w:t>
      </w:r>
      <w:r>
        <w:rPr>
          <w:rFonts w:ascii="Calibri" w:hAnsi="Calibri"/>
          <w:color w:val="17201D"/>
          <w:sz w:val="19"/>
        </w:rPr>
        <w:t>Distinct, decoupled workspaces and login experiences for Executive Administrators versus Staff members (Sales, Warehouse, Accounts).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7201D"/>
          <w:sz w:val="19"/>
        </w:rPr>
        <w:t xml:space="preserve">• Concurrency Safety: </w:t>
      </w:r>
      <w:r>
        <w:rPr>
          <w:rFonts w:ascii="Calibri" w:hAnsi="Calibri"/>
          <w:color w:val="17201D"/>
          <w:sz w:val="19"/>
        </w:rPr>
        <w:t>Atomic stock deduction with PostgreSQL row-level locks (SELECT ... FOR UPDATE), guaranteeing zero negative inventory and no race conditions.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7201D"/>
          <w:sz w:val="19"/>
        </w:rPr>
        <w:t xml:space="preserve">• Historical Snapshot Integrity: </w:t>
      </w:r>
      <w:r>
        <w:rPr>
          <w:rFonts w:ascii="Calibri" w:hAnsi="Calibri"/>
          <w:color w:val="17201D"/>
          <w:sz w:val="19"/>
        </w:rPr>
        <w:t>Preserving product name, SKU, and unit price in challan_items to maintain historical accuracy regardless of future catalog changes.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7201D"/>
          <w:sz w:val="19"/>
        </w:rPr>
        <w:t xml:space="preserve">• Bonus Implementations: </w:t>
      </w:r>
      <w:r>
        <w:rPr>
          <w:rFonts w:ascii="Calibri" w:hAnsi="Calibri"/>
          <w:color w:val="17201D"/>
          <w:sz w:val="19"/>
        </w:rPr>
        <w:t>Full containerization via Docker Compose, automated CI/CD via GitHub Actions, and browser-native PDF delivery note export.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7201D"/>
          <w:sz w:val="19"/>
        </w:rPr>
        <w:t xml:space="preserve">• Immediate Joining Commitment: </w:t>
      </w:r>
      <w:r>
        <w:rPr>
          <w:rFonts w:ascii="Calibri" w:hAnsi="Calibri"/>
          <w:color w:val="17201D"/>
          <w:sz w:val="19"/>
        </w:rPr>
        <w:t>I confirm my 100% availability for immediate joining in Pune, Maharashtra upon selection.</w:t>
      </w:r>
    </w:p>
    <w:p>
      <w:pPr>
        <w:keepNext/>
        <w:spacing w:before="280" w:after="100"/>
      </w:pPr>
      <w:r>
        <w:rPr>
          <w:rFonts w:ascii="Calibri" w:hAnsi="Calibri"/>
          <w:b/>
          <w:color w:val="102A22"/>
          <w:sz w:val="30"/>
        </w:rPr>
        <w:t>2. Tools &amp; Technologies Used &amp; How They Work</w:t>
      </w:r>
    </w:p>
    <w:p>
      <w:pPr>
        <w:spacing w:before="40" w:after="80" w:line="276" w:lineRule="auto"/>
      </w:pPr>
      <w:r>
        <w:rPr>
          <w:rFonts w:ascii="Calibri" w:hAnsi="Calibri"/>
          <w:color w:val="17201D"/>
          <w:sz w:val="20"/>
        </w:rPr>
        <w:t>The project leverages modern industry tools chosen specifically for speed, reliability, type safety, and scalability: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02A22"/>
          </w:tcPr>
          <w:p>
            <w:r>
              <w:t>Tool / Technology</w:t>
            </w:r>
          </w:p>
        </w:tc>
        <w:tc>
          <w:tcPr>
            <w:tcW w:type="dxa" w:w="3360"/>
            <w:shd w:fill="102A22"/>
          </w:tcPr>
          <w:p>
            <w:r>
              <w:t>Layer</w:t>
            </w:r>
          </w:p>
        </w:tc>
        <w:tc>
          <w:tcPr>
            <w:tcW w:type="dxa" w:w="3360"/>
            <w:shd w:fill="102A22"/>
          </w:tcPr>
          <w:p>
            <w:r>
              <w:t>How It Works &amp; Business Value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color w:val="17201D"/>
                <w:sz w:val="17"/>
              </w:rPr>
              <w:t>React 18 &amp; TypeScript</w:t>
            </w:r>
          </w:p>
        </w:tc>
        <w:tc>
          <w:tcPr>
            <w:tcW w:type="dxa" w:w="3360"/>
          </w:tcPr>
          <w:p>
            <w:r>
              <w:rPr>
                <w:color w:val="17201D"/>
                <w:sz w:val="17"/>
              </w:rPr>
              <w:t>Frontend Tier</w:t>
            </w:r>
          </w:p>
        </w:tc>
        <w:tc>
          <w:tcPr>
            <w:tcW w:type="dxa" w:w="3360"/>
          </w:tcPr>
          <w:p>
            <w:r>
              <w:rPr>
                <w:color w:val="17201D"/>
                <w:sz w:val="17"/>
              </w:rPr>
              <w:t>Provides a robust Single Page Application (SPA) architecture with strict type safety, modular component lifecycle management, and instant sub-second bundling with Vite.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color w:val="17201D"/>
                <w:sz w:val="17"/>
              </w:rPr>
              <w:t>Node.js 24 &amp; Express.js</w:t>
            </w:r>
          </w:p>
        </w:tc>
        <w:tc>
          <w:tcPr>
            <w:tcW w:type="dxa" w:w="3360"/>
          </w:tcPr>
          <w:p>
            <w:r>
              <w:rPr>
                <w:color w:val="17201D"/>
                <w:sz w:val="17"/>
              </w:rPr>
              <w:t>Backend REST API</w:t>
            </w:r>
          </w:p>
        </w:tc>
        <w:tc>
          <w:tcPr>
            <w:tcW w:type="dxa" w:w="3360"/>
          </w:tcPr>
          <w:p>
            <w:r>
              <w:rPr>
                <w:color w:val="17201D"/>
                <w:sz w:val="17"/>
              </w:rPr>
              <w:t>Asynchronous, event-driven RESTful micro-service with express-validator validation pipelines, role authorization middleware, and centralized error handling.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color w:val="17201D"/>
                <w:sz w:val="17"/>
              </w:rPr>
              <w:t>PostgreSQL (Neon Cloud AWS)</w:t>
            </w:r>
          </w:p>
        </w:tc>
        <w:tc>
          <w:tcPr>
            <w:tcW w:type="dxa" w:w="3360"/>
          </w:tcPr>
          <w:p>
            <w:r>
              <w:rPr>
                <w:color w:val="17201D"/>
                <w:sz w:val="17"/>
              </w:rPr>
              <w:t>Database Tier</w:t>
            </w:r>
          </w:p>
        </w:tc>
        <w:tc>
          <w:tcPr>
            <w:tcW w:type="dxa" w:w="3360"/>
          </w:tcPr>
          <w:p>
            <w:r>
              <w:rPr>
                <w:color w:val="17201D"/>
                <w:sz w:val="17"/>
              </w:rPr>
              <w:t>Serverless PostgreSQL engine providing ACID transactional integrity, multi-client connection pooling, and row-level locking primitives.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color w:val="17201D"/>
                <w:sz w:val="17"/>
              </w:rPr>
              <w:t>JSON Web Tokens (JWT) &amp; Bcrypt</w:t>
            </w:r>
          </w:p>
        </w:tc>
        <w:tc>
          <w:tcPr>
            <w:tcW w:type="dxa" w:w="3360"/>
          </w:tcPr>
          <w:p>
            <w:r>
              <w:rPr>
                <w:color w:val="17201D"/>
                <w:sz w:val="17"/>
              </w:rPr>
              <w:t>Security &amp; Auth</w:t>
            </w:r>
          </w:p>
        </w:tc>
        <w:tc>
          <w:tcPr>
            <w:tcW w:type="dxa" w:w="3360"/>
          </w:tcPr>
          <w:p>
            <w:r>
              <w:rPr>
                <w:color w:val="17201D"/>
                <w:sz w:val="17"/>
              </w:rPr>
              <w:t>Stateless authentication using cryptographically signed JWT tokens with 24-hour expiration, paired with salted bcrypt hashing (10–12 salt rounds) for password storage.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color w:val="17201D"/>
                <w:sz w:val="17"/>
              </w:rPr>
              <w:t>Docker &amp; Docker Compose</w:t>
            </w:r>
          </w:p>
        </w:tc>
        <w:tc>
          <w:tcPr>
            <w:tcW w:type="dxa" w:w="3360"/>
          </w:tcPr>
          <w:p>
            <w:r>
              <w:rPr>
                <w:color w:val="17201D"/>
                <w:sz w:val="17"/>
              </w:rPr>
              <w:t>Containerization (Bonus)</w:t>
            </w:r>
          </w:p>
        </w:tc>
        <w:tc>
          <w:tcPr>
            <w:tcW w:type="dxa" w:w="3360"/>
          </w:tcPr>
          <w:p>
            <w:r>
              <w:rPr>
                <w:color w:val="17201D"/>
                <w:sz w:val="17"/>
              </w:rPr>
              <w:t>Multi-stage Dockerfiles for backend (Node 22-alpine) and frontend (Nginx alpine) orchestrated via docker-compose.yml with local PostgreSQL networking.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color w:val="17201D"/>
                <w:sz w:val="17"/>
              </w:rPr>
              <w:t>GitHub Actions</w:t>
            </w:r>
          </w:p>
        </w:tc>
        <w:tc>
          <w:tcPr>
            <w:tcW w:type="dxa" w:w="3360"/>
          </w:tcPr>
          <w:p>
            <w:r>
              <w:rPr>
                <w:color w:val="17201D"/>
                <w:sz w:val="17"/>
              </w:rPr>
              <w:t>CI / CD Pipeline (Bonus)</w:t>
            </w:r>
          </w:p>
        </w:tc>
        <w:tc>
          <w:tcPr>
            <w:tcW w:type="dxa" w:w="3360"/>
          </w:tcPr>
          <w:p>
            <w:r>
              <w:rPr>
                <w:color w:val="17201D"/>
                <w:sz w:val="17"/>
              </w:rPr>
              <w:t>Automated continuous integration pipeline (.github/workflows/ci.yml) validating TypeScript compilation, linting, and production builds on push/PR.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color w:val="17201D"/>
                <w:sz w:val="17"/>
              </w:rPr>
              <w:t>Postman Collection</w:t>
            </w:r>
          </w:p>
        </w:tc>
        <w:tc>
          <w:tcPr>
            <w:tcW w:type="dxa" w:w="3360"/>
          </w:tcPr>
          <w:p>
            <w:r>
              <w:rPr>
                <w:color w:val="17201D"/>
                <w:sz w:val="17"/>
              </w:rPr>
              <w:t>API Testing (Bonus)</w:t>
            </w:r>
          </w:p>
        </w:tc>
        <w:tc>
          <w:tcPr>
            <w:tcW w:type="dxa" w:w="3360"/>
          </w:tcPr>
          <w:p>
            <w:r>
              <w:rPr>
                <w:color w:val="17201D"/>
                <w:sz w:val="17"/>
              </w:rPr>
              <w:t>Structured collection (postman/Fundsroom-ERP.postman_collection.json) covering 100% of REST endpoints across auth, CRM, products, and challans.</w:t>
            </w:r>
          </w:p>
        </w:tc>
      </w:tr>
      <w:tr>
        <w:tc>
          <w:tcPr>
            <w:tcW w:type="dxa" w:w="3360"/>
          </w:tcPr>
          <w:p>
            <w:r>
              <w:rPr>
                <w:b/>
                <w:color w:val="17201D"/>
                <w:sz w:val="17"/>
              </w:rPr>
              <w:t>Render Cloud Hosting</w:t>
            </w:r>
          </w:p>
        </w:tc>
        <w:tc>
          <w:tcPr>
            <w:tcW w:type="dxa" w:w="3360"/>
          </w:tcPr>
          <w:p>
            <w:r>
              <w:rPr>
                <w:color w:val="17201D"/>
                <w:sz w:val="17"/>
              </w:rPr>
              <w:t>Cloud Deployment</w:t>
            </w:r>
          </w:p>
        </w:tc>
        <w:tc>
          <w:tcPr>
            <w:tcW w:type="dxa" w:w="3360"/>
          </w:tcPr>
          <w:p>
            <w:r>
              <w:rPr>
                <w:color w:val="17201D"/>
                <w:sz w:val="17"/>
              </w:rPr>
              <w:t>Configured for zero-downtime deployment on Render.com with single-service production serving (Express serving client/dist static build).</w:t>
            </w:r>
          </w:p>
        </w:tc>
      </w:tr>
    </w:tbl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686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8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/>
          <w:i/>
          <w:color w:val="64746D"/>
          <w:sz w:val="18"/>
        </w:rPr>
        <w:t>Figure 1: Full-Stack System Architecture (React Frontend, Express API, Neon PostgreSQL DB, and Docker/CI Infrastructure)</w:t>
      </w:r>
    </w:p>
    <w:p>
      <w:pPr>
        <w:keepNext/>
        <w:spacing w:before="280" w:after="100"/>
      </w:pPr>
      <w:r>
        <w:rPr>
          <w:rFonts w:ascii="Calibri" w:hAnsi="Calibri"/>
          <w:b/>
          <w:color w:val="102A22"/>
          <w:sz w:val="30"/>
        </w:rPr>
        <w:t>3. Database Schema &amp; Data Integrity Design</w:t>
      </w:r>
    </w:p>
    <w:p>
      <w:pPr>
        <w:spacing w:before="40" w:after="80" w:line="276" w:lineRule="auto"/>
      </w:pPr>
      <w:r>
        <w:rPr>
          <w:rFonts w:ascii="Calibri" w:hAnsi="Calibri"/>
          <w:color w:val="17201D"/>
          <w:sz w:val="20"/>
        </w:rPr>
        <w:t>The database architecture is designed with 7 normalized tables, enforcing relational foreign key constraints, automatic timestamps, and check constraints to prevent invalid operational states: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7201D"/>
          <w:sz w:val="19"/>
        </w:rPr>
        <w:t>users: Stores employee credentials, salted password hashes, and strictly enumerated roles (Admin, Sales, Warehouse, Accounts).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7201D"/>
          <w:sz w:val="19"/>
        </w:rPr>
        <w:t>customers: Complete CRM records including business name, mobile, email, customer type (Retail/Wholesale/Distributor), status (Lead/Active/Inactive), follow-up date, and optional GSTIN.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7201D"/>
          <w:sz w:val="19"/>
        </w:rPr>
        <w:t>customer_followups: Chronological interaction history linked to customers with created_by employee foreign key.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7201D"/>
          <w:sz w:val="19"/>
        </w:rPr>
        <w:t>products: Catalog SKUs, categories, unit prices (NUMERIC 12,2), on-hand stock (CHECK &gt;= 0), minimum alert thresholds, and warehouse location.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7201D"/>
          <w:sz w:val="19"/>
        </w:rPr>
        <w:t>stock_movements: Immutable audit trail tracking product, movement direction (IN/OUT), quantity changed (&gt; 0), reason reference, and authorized employee.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7201D"/>
          <w:sz w:val="19"/>
        </w:rPr>
        <w:t>challans: Outbound delivery orders with unique formatted challan numbers (CH-YYYY-XXXXXX), customer relation, total items, and status (Draft/Confirmed/Cancelled).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7201D"/>
          <w:sz w:val="19"/>
        </w:rPr>
        <w:t>challan_items: Historical product snapshot preserving product name, SKU, and unit price at moment of sale.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88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/>
          <w:i/>
          <w:color w:val="64746D"/>
          <w:sz w:val="18"/>
        </w:rPr>
        <w:t>Figure 2: Relational Database Entity Relationship Diagram (ERD) with Constraints &amp; Snapshots</w:t>
      </w:r>
    </w:p>
    <w:p>
      <w:pPr>
        <w:keepNext/>
        <w:spacing w:before="280" w:after="100"/>
      </w:pPr>
      <w:r>
        <w:rPr>
          <w:rFonts w:ascii="Calibri" w:hAnsi="Calibri"/>
          <w:b/>
          <w:color w:val="102A22"/>
          <w:sz w:val="30"/>
        </w:rPr>
        <w:t>4. Transaction Safety &amp; Concurrency Control (Stock Safety)</w:t>
      </w:r>
    </w:p>
    <w:p>
      <w:pPr>
        <w:spacing w:before="40" w:after="80" w:line="276" w:lineRule="auto"/>
      </w:pPr>
      <w:r>
        <w:rPr>
          <w:rFonts w:ascii="Calibri" w:hAnsi="Calibri"/>
          <w:color w:val="17201D"/>
          <w:sz w:val="20"/>
        </w:rPr>
        <w:t>In high-volume wholesale distribution, race conditions during order placement can lead to inventory overselling or negative stock balances. OrbitOps solves this at the database engine level: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7201D"/>
          <w:sz w:val="19"/>
        </w:rPr>
        <w:t>When a sales challan is confirmed, Express initiates an atomic transaction using BEGIN.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7201D"/>
          <w:sz w:val="19"/>
        </w:rPr>
        <w:t>PostgreSQL Row-Level Locking: Executes SELECT current_stock FROM products WHERE id = $1 FOR UPDATE. This locks the specific product rows against concurrent modifications.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7201D"/>
          <w:sz w:val="19"/>
        </w:rPr>
        <w:t>Zero Negative Stock Check: If current_stock &lt; requested_quantity, the transaction immediately executes ROLLBACK and returns HTTP 409 Conflict with an error message.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7201D"/>
          <w:sz w:val="19"/>
        </w:rPr>
        <w:t>Atomic Stock Decrement: Deducts on-hand inventory via UPDATE products SET current_stock = current_stock - $1 WHERE id = $2.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7201D"/>
          <w:sz w:val="19"/>
        </w:rPr>
        <w:t>Automatic Audit Log: Concurrently writes an OUT entry in stock_movements linked to the confirmed challan number.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7201D"/>
          <w:sz w:val="19"/>
        </w:rPr>
        <w:t>Atomic COMMIT commits all updates together, ensuring no partial or corrupted states.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653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action_concurrency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/>
          <w:i/>
          <w:color w:val="64746D"/>
          <w:sz w:val="18"/>
        </w:rPr>
        <w:t>Figure 3: Five-Step Atomic Transaction Workflow with PostgreSQL Row-Level Locking (FOR UPDATE)</w:t>
      </w:r>
    </w:p>
    <w:p>
      <w:pPr>
        <w:keepNext/>
        <w:spacing w:before="280" w:after="100"/>
      </w:pPr>
      <w:r>
        <w:rPr>
          <w:rFonts w:ascii="Calibri" w:hAnsi="Calibri"/>
          <w:b/>
          <w:color w:val="102A22"/>
          <w:sz w:val="30"/>
        </w:rPr>
        <w:t>5. Role-Based Access Control: Admin vs. Staff Experience</w:t>
      </w:r>
    </w:p>
    <w:p>
      <w:pPr>
        <w:spacing w:before="40" w:after="80" w:line="276" w:lineRule="auto"/>
      </w:pPr>
      <w:r>
        <w:rPr>
          <w:rFonts w:ascii="Calibri" w:hAnsi="Calibri"/>
          <w:color w:val="17201D"/>
          <w:sz w:val="20"/>
        </w:rPr>
        <w:t>Per the prompt instructions, distinct workspaces and portals were engineered for Executive Administrators versus Department Staff:</w:t>
      </w:r>
    </w:p>
    <w:p>
      <w:pPr>
        <w:keepNext/>
        <w:spacing w:before="200" w:after="60"/>
      </w:pPr>
      <w:r>
        <w:rPr>
          <w:rFonts w:ascii="Calibri" w:hAnsi="Calibri"/>
          <w:b/>
          <w:color w:val="196F50"/>
          <w:sz w:val="25"/>
        </w:rPr>
        <w:t>A. Login Page Role Separation</w:t>
      </w:r>
    </w:p>
    <w:p>
      <w:pPr>
        <w:spacing w:before="40" w:after="80" w:line="276" w:lineRule="auto"/>
      </w:pPr>
      <w:r>
        <w:rPr>
          <w:rFonts w:ascii="Calibri" w:hAnsi="Calibri"/>
          <w:color w:val="17201D"/>
          <w:sz w:val="20"/>
        </w:rPr>
        <w:t>The sign-in interface features a Tabbed Entrance separating the Admin Portal from the Staff Workspace. Administrators enter through the purple Executive Portal, while staff select their respective department. One-click demo login buttons and a password visibility toggle (Eye icon) allow instant testing.</w:t>
      </w:r>
    </w:p>
    <w:p>
      <w:pPr>
        <w:keepNext/>
        <w:spacing w:before="200" w:after="60"/>
      </w:pPr>
      <w:r>
        <w:rPr>
          <w:rFonts w:ascii="Calibri" w:hAnsi="Calibri"/>
          <w:b/>
          <w:color w:val="196F50"/>
          <w:sz w:val="25"/>
        </w:rPr>
        <w:t>B. Executive Admin Portal Experience</w:t>
      </w:r>
    </w:p>
    <w:p>
      <w:pPr>
        <w:spacing w:before="40" w:after="80" w:line="276" w:lineRule="auto"/>
      </w:pPr>
      <w:r>
        <w:rPr>
          <w:rFonts w:ascii="Calibri" w:hAnsi="Calibri"/>
          <w:color w:val="17201D"/>
          <w:sz w:val="20"/>
        </w:rPr>
        <w:t>When logging in as Admin (admin@fundsroom.local):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7201D"/>
          <w:sz w:val="19"/>
        </w:rPr>
        <w:t>Executive Command Center: Dashboard displaying high-level operational health, inventory asset value, live low-stock warnings, and recent dispatches.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7201D"/>
          <w:sz w:val="19"/>
        </w:rPr>
        <w:t>Exclusive 'Team &amp; Roles' Governance (/admin/users): Administrators have exclusive access to view all registered employees and dynamically reassign or promote roles (Admin, Sales, Warehouse, Accounts) via dropdowns.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7201D"/>
          <w:sz w:val="19"/>
        </w:rPr>
        <w:t>Unrestricted Access: Admin can perform all operations across CRM, Catalog, Restock, Dispatches, and Auditing.</w:t>
      </w:r>
    </w:p>
    <w:p>
      <w:pPr>
        <w:keepNext/>
        <w:spacing w:before="200" w:after="60"/>
      </w:pPr>
      <w:r>
        <w:rPr>
          <w:rFonts w:ascii="Calibri" w:hAnsi="Calibri"/>
          <w:b/>
          <w:color w:val="196F50"/>
          <w:sz w:val="25"/>
        </w:rPr>
        <w:t>C. Department Staff Workspaces (Sales, Warehouse, Accounts)</w:t>
      </w:r>
    </w:p>
    <w:p>
      <w:pPr>
        <w:spacing w:before="40" w:after="80" w:line="276" w:lineRule="auto"/>
      </w:pPr>
      <w:r>
        <w:rPr>
          <w:rFonts w:ascii="Calibri" w:hAnsi="Calibri"/>
          <w:color w:val="17201D"/>
          <w:sz w:val="20"/>
        </w:rPr>
        <w:t>When logging in as Staff: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7201D"/>
          <w:sz w:val="19"/>
        </w:rPr>
        <w:t>Sales (sales@fundsroom.local): Dedicated workspace for Customer CRM leads, follow-up scheduler, and multi-product Challan generation. Cannot modify warehouse stock directly.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7201D"/>
          <w:sz w:val="19"/>
        </w:rPr>
        <w:t>Warehouse (warehouse@fundsroom.local): Dedicated logistics workspace with on-hand inventory, low-stock alerts, 1-click Quick Restock, and goods inward logs. Cannot view customer CRM.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7201D"/>
          <w:sz w:val="19"/>
        </w:rPr>
        <w:t>Accounts (accounts@fundsroom.local): Read-only financial auditing workspace with delivery notes, GSTIN verification, and printable tax invoices.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19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ac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/>
          <w:i/>
          <w:color w:val="64746D"/>
          <w:sz w:val="18"/>
        </w:rPr>
        <w:t>Figure 4: Comprehensive Role-Based Access Control (RBAC) Permission Matrix across All 4 Roles</w:t>
      </w:r>
    </w:p>
    <w:p>
      <w:pPr>
        <w:keepNext/>
        <w:spacing w:before="280" w:after="100"/>
      </w:pPr>
      <w:r>
        <w:rPr>
          <w:rFonts w:ascii="Calibri" w:hAnsi="Calibri"/>
          <w:b/>
          <w:color w:val="102A22"/>
          <w:sz w:val="30"/>
        </w:rPr>
        <w:t>6. Development Environment &amp; Repository Evidence</w:t>
      </w:r>
    </w:p>
    <w:p>
      <w:pPr>
        <w:spacing w:before="40" w:after="80" w:line="276" w:lineRule="auto"/>
      </w:pPr>
      <w:r>
        <w:rPr>
          <w:rFonts w:ascii="Calibri" w:hAnsi="Calibri"/>
          <w:color w:val="17201D"/>
          <w:sz w:val="20"/>
        </w:rPr>
        <w:t>The development environment in Visual Studio Code and the official GitHub repository setup are shown below: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worksp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/>
          <w:i/>
          <w:color w:val="64746D"/>
          <w:sz w:val="18"/>
        </w:rPr>
        <w:t>Figure 5: Local VS Code Workspace with Neon PostgreSQL Active Database Configuration (.env) &amp; Monorepo Structure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rep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/>
          <w:i/>
          <w:color w:val="64746D"/>
          <w:sz w:val="18"/>
        </w:rPr>
        <w:t>Figure 6: Official GitHub Repository Creation for fundsroom-mini-erp-crm (maheshbk1805-web)</w:t>
      </w:r>
    </w:p>
    <w:p>
      <w:pPr>
        <w:keepNext/>
        <w:spacing w:before="280" w:after="100"/>
      </w:pPr>
      <w:r>
        <w:rPr>
          <w:rFonts w:ascii="Calibri" w:hAnsi="Calibri"/>
          <w:b/>
          <w:color w:val="102A22"/>
          <w:sz w:val="30"/>
        </w:rPr>
        <w:t>7. Verified Test Login Credentials</w:t>
      </w:r>
    </w:p>
    <w:p>
      <w:pPr>
        <w:spacing w:before="40" w:after="80" w:line="276" w:lineRule="auto"/>
      </w:pPr>
      <w:r>
        <w:rPr>
          <w:rFonts w:ascii="Calibri" w:hAnsi="Calibri"/>
          <w:color w:val="17201D"/>
          <w:sz w:val="20"/>
        </w:rPr>
        <w:t xml:space="preserve">All accounts are pre-seeded in the Neon Cloud database with password: </w:t>
      </w:r>
    </w:p>
    <w:p>
      <w:r>
        <w:rPr>
          <w:b/>
          <w:color w:val="196F50"/>
          <w:sz w:val="22"/>
        </w:rPr>
        <w:t>Universal Password: Password@123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96F50"/>
          </w:tcPr>
          <w:p>
            <w:r>
              <w:t>Role</w:t>
            </w:r>
          </w:p>
        </w:tc>
        <w:tc>
          <w:tcPr>
            <w:tcW w:type="dxa" w:w="2520"/>
            <w:shd w:fill="196F50"/>
          </w:tcPr>
          <w:p>
            <w:r>
              <w:t>Login Email</w:t>
            </w:r>
          </w:p>
        </w:tc>
        <w:tc>
          <w:tcPr>
            <w:tcW w:type="dxa" w:w="2520"/>
            <w:shd w:fill="196F50"/>
          </w:tcPr>
          <w:p>
            <w:r>
              <w:t>Password</w:t>
            </w:r>
          </w:p>
        </w:tc>
        <w:tc>
          <w:tcPr>
            <w:tcW w:type="dxa" w:w="2520"/>
            <w:shd w:fill="196F50"/>
          </w:tcPr>
          <w:p>
            <w:r>
              <w:t>Workspace Access Scope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color w:val="17201D"/>
                <w:sz w:val="17"/>
              </w:rPr>
              <w:t>Admin</w:t>
            </w:r>
          </w:p>
        </w:tc>
        <w:tc>
          <w:tcPr>
            <w:tcW w:type="dxa" w:w="2520"/>
          </w:tcPr>
          <w:p>
            <w:r>
              <w:rPr>
                <w:color w:val="17201D"/>
                <w:sz w:val="17"/>
              </w:rPr>
              <w:t>admin@fundsroom.local</w:t>
            </w:r>
          </w:p>
        </w:tc>
        <w:tc>
          <w:tcPr>
            <w:tcW w:type="dxa" w:w="2520"/>
          </w:tcPr>
          <w:p>
            <w:r>
              <w:rPr>
                <w:color w:val="17201D"/>
                <w:sz w:val="17"/>
              </w:rPr>
              <w:t>Password@123</w:t>
            </w:r>
          </w:p>
        </w:tc>
        <w:tc>
          <w:tcPr>
            <w:tcW w:type="dxa" w:w="2520"/>
          </w:tcPr>
          <w:p>
            <w:r>
              <w:rPr>
                <w:color w:val="17201D"/>
                <w:sz w:val="17"/>
              </w:rPr>
              <w:t>Executive full access: CRM, Inventory, Orders, Audit logs, and exclusive User Role Governance.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color w:val="17201D"/>
                <w:sz w:val="17"/>
              </w:rPr>
              <w:t>Sales</w:t>
            </w:r>
          </w:p>
        </w:tc>
        <w:tc>
          <w:tcPr>
            <w:tcW w:type="dxa" w:w="2520"/>
          </w:tcPr>
          <w:p>
            <w:r>
              <w:rPr>
                <w:color w:val="17201D"/>
                <w:sz w:val="17"/>
              </w:rPr>
              <w:t>sales@fundsroom.local</w:t>
            </w:r>
          </w:p>
        </w:tc>
        <w:tc>
          <w:tcPr>
            <w:tcW w:type="dxa" w:w="2520"/>
          </w:tcPr>
          <w:p>
            <w:r>
              <w:rPr>
                <w:color w:val="17201D"/>
                <w:sz w:val="17"/>
              </w:rPr>
              <w:t>Password@123</w:t>
            </w:r>
          </w:p>
        </w:tc>
        <w:tc>
          <w:tcPr>
            <w:tcW w:type="dxa" w:w="2520"/>
          </w:tcPr>
          <w:p>
            <w:r>
              <w:rPr>
                <w:color w:val="17201D"/>
                <w:sz w:val="17"/>
              </w:rPr>
              <w:t>Sales domain: Register clients, log follow-ups, draft and confirm multi-item delivery challans.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color w:val="17201D"/>
                <w:sz w:val="17"/>
              </w:rPr>
              <w:t>Warehouse</w:t>
            </w:r>
          </w:p>
        </w:tc>
        <w:tc>
          <w:tcPr>
            <w:tcW w:type="dxa" w:w="2520"/>
          </w:tcPr>
          <w:p>
            <w:r>
              <w:rPr>
                <w:color w:val="17201D"/>
                <w:sz w:val="17"/>
              </w:rPr>
              <w:t>warehouse@fundsroom.local</w:t>
            </w:r>
          </w:p>
        </w:tc>
        <w:tc>
          <w:tcPr>
            <w:tcW w:type="dxa" w:w="2520"/>
          </w:tcPr>
          <w:p>
            <w:r>
              <w:rPr>
                <w:color w:val="17201D"/>
                <w:sz w:val="17"/>
              </w:rPr>
              <w:t>Password@123</w:t>
            </w:r>
          </w:p>
        </w:tc>
        <w:tc>
          <w:tcPr>
            <w:tcW w:type="dxa" w:w="2520"/>
          </w:tcPr>
          <w:p>
            <w:r>
              <w:rPr>
                <w:color w:val="17201D"/>
                <w:sz w:val="17"/>
              </w:rPr>
              <w:t>Logistics domain: Manage catalog products, set reorder alert thresholds, 1-click Quick Restock.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color w:val="17201D"/>
                <w:sz w:val="17"/>
              </w:rPr>
              <w:t>Accounts</w:t>
            </w:r>
          </w:p>
        </w:tc>
        <w:tc>
          <w:tcPr>
            <w:tcW w:type="dxa" w:w="2520"/>
          </w:tcPr>
          <w:p>
            <w:r>
              <w:rPr>
                <w:color w:val="17201D"/>
                <w:sz w:val="17"/>
              </w:rPr>
              <w:t>accounts@fundsroom.local</w:t>
            </w:r>
          </w:p>
        </w:tc>
        <w:tc>
          <w:tcPr>
            <w:tcW w:type="dxa" w:w="2520"/>
          </w:tcPr>
          <w:p>
            <w:r>
              <w:rPr>
                <w:color w:val="17201D"/>
                <w:sz w:val="17"/>
              </w:rPr>
              <w:t>Password@123</w:t>
            </w:r>
          </w:p>
        </w:tc>
        <w:tc>
          <w:tcPr>
            <w:tcW w:type="dxa" w:w="2520"/>
          </w:tcPr>
          <w:p>
            <w:r>
              <w:rPr>
                <w:color w:val="17201D"/>
                <w:sz w:val="17"/>
              </w:rPr>
              <w:t>Auditing domain: Read-only operational visibility across all records and printable delivery invoices.</w:t>
            </w:r>
          </w:p>
        </w:tc>
      </w:tr>
    </w:tbl>
    <w:p>
      <w:pPr>
        <w:keepNext/>
        <w:spacing w:before="280" w:after="100"/>
      </w:pPr>
      <w:r>
        <w:rPr>
          <w:rFonts w:ascii="Calibri" w:hAnsi="Calibri"/>
          <w:b/>
          <w:color w:val="102A22"/>
          <w:sz w:val="30"/>
        </w:rPr>
        <w:t>8. Screen Recording &amp; Google Form Submission Checklist</w:t>
      </w:r>
    </w:p>
    <w:p>
      <w:pPr>
        <w:spacing w:before="40" w:after="80" w:line="276" w:lineRule="auto"/>
      </w:pPr>
      <w:r>
        <w:rPr>
          <w:rFonts w:ascii="Calibri" w:hAnsi="Calibri"/>
          <w:color w:val="17201D"/>
          <w:sz w:val="20"/>
        </w:rPr>
        <w:t>Per the case study instructions, follow this exact procedure for the submission: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7201D"/>
          <w:sz w:val="19"/>
        </w:rPr>
        <w:t xml:space="preserve">1. Screen Recording: </w:t>
      </w:r>
      <w:r>
        <w:rPr>
          <w:rFonts w:ascii="Calibri" w:hAnsi="Calibri"/>
          <w:color w:val="17201D"/>
          <w:sz w:val="19"/>
        </w:rPr>
        <w:t>Start your screen recorder (Windows Game Bar [Win + G], OBS Studio, or Loom).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7201D"/>
          <w:sz w:val="19"/>
        </w:rPr>
        <w:t xml:space="preserve">2. Admin Flow: </w:t>
      </w:r>
      <w:r>
        <w:rPr>
          <w:rFonts w:ascii="Calibri" w:hAnsi="Calibri"/>
          <w:color w:val="17201D"/>
          <w:sz w:val="19"/>
        </w:rPr>
        <w:t>Demonstrate Admin login, Executive Command Center metrics, and the User Management page.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7201D"/>
          <w:sz w:val="19"/>
        </w:rPr>
        <w:t xml:space="preserve">3. CRM Flow: </w:t>
      </w:r>
      <w:r>
        <w:rPr>
          <w:rFonts w:ascii="Calibri" w:hAnsi="Calibri"/>
          <w:color w:val="17201D"/>
          <w:sz w:val="19"/>
        </w:rPr>
        <w:t>Go to Customer CRM &amp;rarr; Add customer with GSTIN &amp;rarr; Open Profile &amp;rarr; Log a follow-up note.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7201D"/>
          <w:sz w:val="19"/>
        </w:rPr>
        <w:t xml:space="preserve">4. Inventory Flow: </w:t>
      </w:r>
      <w:r>
        <w:rPr>
          <w:rFonts w:ascii="Calibri" w:hAnsi="Calibri"/>
          <w:color w:val="17201D"/>
          <w:sz w:val="19"/>
        </w:rPr>
        <w:t>Go to Inventory &amp;rarr; Show low-stock alert badge &amp;rarr; Click '+ Restock' to inward goods in 1 click.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7201D"/>
          <w:sz w:val="19"/>
        </w:rPr>
        <w:t xml:space="preserve">5. Challan Flow: </w:t>
      </w:r>
      <w:r>
        <w:rPr>
          <w:rFonts w:ascii="Calibri" w:hAnsi="Calibri"/>
          <w:color w:val="17201D"/>
          <w:sz w:val="19"/>
        </w:rPr>
        <w:t>Go to Sales Challans &amp;rarr; Click 'New Challan' &amp;rarr; Add multiple products &amp;rarr; Create Confirmed &amp;rarr; Show printable Tax Invoice.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7201D"/>
          <w:sz w:val="19"/>
        </w:rPr>
        <w:t xml:space="preserve">6. Audit Log: </w:t>
      </w:r>
      <w:r>
        <w:rPr>
          <w:rFonts w:ascii="Calibri" w:hAnsi="Calibri"/>
          <w:color w:val="17201D"/>
          <w:sz w:val="19"/>
        </w:rPr>
        <w:t>Go to Stock Audit Log &amp;rarr; Show the automated OUT movement logged for the confirmed challan.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7201D"/>
          <w:sz w:val="19"/>
        </w:rPr>
        <w:t xml:space="preserve">7. Role Switching: </w:t>
      </w:r>
      <w:r>
        <w:rPr>
          <w:rFonts w:ascii="Calibri" w:hAnsi="Calibri"/>
          <w:color w:val="17201D"/>
          <w:sz w:val="19"/>
        </w:rPr>
        <w:t>Sign out &amp;rarr; Log in as Sales or Accounts to showcase the tailored role workspace.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7201D"/>
          <w:sz w:val="19"/>
        </w:rPr>
        <w:t xml:space="preserve">8. Drive Upload: </w:t>
      </w:r>
      <w:r>
        <w:rPr>
          <w:rFonts w:ascii="Calibri" w:hAnsi="Calibri"/>
          <w:color w:val="17201D"/>
          <w:sz w:val="19"/>
        </w:rPr>
        <w:t>Upload your video recording to Google Drive. Right-click &amp;rarr; Share &amp;rarr; Set General Access to 'Anyone with the link can view'.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7201D"/>
          <w:sz w:val="19"/>
        </w:rPr>
        <w:t xml:space="preserve">9. Form Submission: </w:t>
      </w:r>
      <w:r>
        <w:rPr>
          <w:rFonts w:ascii="Calibri" w:hAnsi="Calibri"/>
          <w:color w:val="17201D"/>
          <w:sz w:val="19"/>
        </w:rPr>
        <w:t>Submit the Google Form before 6:00 PM with your Drive link and this PDF document.</w:t>
      </w:r>
    </w:p>
    <w:p>
      <w:pPr>
        <w:keepNext/>
        <w:spacing w:before="280" w:after="100"/>
      </w:pPr>
      <w:r>
        <w:rPr>
          <w:rFonts w:ascii="Calibri" w:hAnsi="Calibri"/>
          <w:b/>
          <w:color w:val="102A22"/>
          <w:sz w:val="30"/>
        </w:rPr>
        <w:t>9. Immediate Joining Commitment</w:t>
      </w:r>
    </w:p>
    <w:p>
      <w:pPr>
        <w:spacing w:before="40" w:after="80" w:line="276" w:lineRule="auto"/>
      </w:pPr>
      <w:r>
        <w:rPr>
          <w:rFonts w:ascii="Calibri" w:hAnsi="Calibri"/>
          <w:color w:val="17201D"/>
          <w:sz w:val="20"/>
        </w:rPr>
        <w:t>I, Mahesh B K, confirm my genuine interest and availability for immediate joining at Fundsroom in Pune, Maharashtra. I am fully comfortable with the Pune work location and look forward to clearing Rounds 2 and 3 and joining the organization without fail.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