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rFonts w:ascii="Calibri" w:hAnsi="Calibri"/>
          <w:b/>
          <w:color w:val="65756D"/>
          <w:sz w:val="22"/>
        </w:rPr>
        <w:t>FUNDSROOM RECRUITMENT — ROUND 1 TECHNICAL CASE STUDY</w:t>
        <w:br/>
      </w:r>
      <w:r>
        <w:rPr>
          <w:rFonts w:ascii="Calibri" w:hAnsi="Calibri"/>
          <w:b/>
          <w:color w:val="102A22"/>
          <w:sz w:val="40"/>
        </w:rPr>
        <w:t>Mini ERP + CRM Operations Portal</w:t>
        <w:br/>
        <w:t>Full-Stack Technical Solution &amp; Architecture Document</w:t>
      </w:r>
    </w:p>
    <w:p>
      <w:pPr>
        <w:spacing w:after="320"/>
        <w:jc w:val="center"/>
      </w:pPr>
      <w:r>
        <w:rPr>
          <w:rFonts w:ascii="Calibri" w:hAnsi="Calibri"/>
          <w:i/>
          <w:color w:val="65756D"/>
          <w:sz w:val="20"/>
        </w:rPr>
        <w:t>Position: Full Stack Developer | Location: Pune, Maharashtra | Role: Immediate Joining</w:t>
      </w:r>
    </w:p>
    <w:p>
      <w:pPr>
        <w:spacing w:after="120"/>
      </w:pPr>
    </w:p>
    <w:p>
      <w:pPr>
        <w:keepNext/>
        <w:spacing w:before="280" w:after="120"/>
      </w:pPr>
      <w:r>
        <w:rPr>
          <w:rFonts w:ascii="Calibri" w:hAnsi="Calibri"/>
          <w:b/>
          <w:color w:val="102A22"/>
          <w:sz w:val="32"/>
        </w:rPr>
        <w:t>1. Executive Summary &amp; Overview</w:t>
      </w:r>
    </w:p>
    <w:p>
      <w:pPr>
        <w:spacing w:before="40" w:after="80" w:line="276" w:lineRule="auto"/>
      </w:pPr>
      <w:r>
        <w:rPr>
          <w:rFonts w:ascii="Calibri" w:hAnsi="Calibri"/>
          <w:color w:val="17201D"/>
          <w:sz w:val="21"/>
        </w:rPr>
        <w:t>This document presents the comprehensive, production-ready solution for the Fundsroom Full Stack Developer Case Study. The project is an operational Mini ERP and CRM Portal engineered specifically for a wholesale and distribution enterprise. The system coordinates customer relationship lifecycles, catalog inventory with intelligent low-stock triggers, tamper-evident stock movement audit logs, and transactional sales delivery challans.</w:t>
      </w:r>
    </w:p>
    <w:p>
      <w:pPr>
        <w:spacing w:before="40" w:after="80" w:line="276" w:lineRule="auto"/>
      </w:pPr>
      <w:r>
        <w:rPr>
          <w:rFonts w:ascii="Calibri" w:hAnsi="Calibri"/>
          <w:color w:val="17201D"/>
          <w:sz w:val="21"/>
        </w:rPr>
        <w:t>The implementation adheres strictly to the required modern web architecture: a high-performance React + TypeScript SPA on the client, an Express.js + TypeScript RESTful API on the backend, and a robust PostgreSQL database engine ensuring ACID guarantees.</w:t>
      </w:r>
    </w:p>
    <w:p>
      <w:pPr>
        <w:keepNext/>
        <w:spacing w:before="280" w:after="120"/>
      </w:pPr>
      <w:r>
        <w:rPr>
          <w:rFonts w:ascii="Calibri" w:hAnsi="Calibri"/>
          <w:b/>
          <w:color w:val="102A22"/>
          <w:sz w:val="32"/>
        </w:rPr>
        <w:t>2. Technical Stack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02A22"/>
          </w:tcPr>
          <w:p>
            <w:r>
              <w:rPr>
                <w:b/>
                <w:color w:val="FFFFFF"/>
                <w:sz w:val="19"/>
              </w:rPr>
              <w:t>Tier / Component</w:t>
            </w:r>
          </w:p>
        </w:tc>
        <w:tc>
          <w:tcPr>
            <w:tcW w:type="dxa" w:w="3312"/>
            <w:shd w:fill="102A22"/>
          </w:tcPr>
          <w:p>
            <w:r>
              <w:rPr>
                <w:b/>
                <w:color w:val="FFFFFF"/>
                <w:sz w:val="19"/>
              </w:rPr>
              <w:t>Technology Chosen</w:t>
            </w:r>
          </w:p>
        </w:tc>
        <w:tc>
          <w:tcPr>
            <w:tcW w:type="dxa" w:w="3312"/>
            <w:shd w:fill="102A22"/>
          </w:tcPr>
          <w:p>
            <w:r>
              <w:rPr>
                <w:b/>
                <w:color w:val="FFFFFF"/>
                <w:sz w:val="19"/>
              </w:rPr>
              <w:t>Justification &amp; Architectural Role</w:t>
            </w:r>
          </w:p>
        </w:tc>
      </w:tr>
      <w:tr>
        <w:tc>
          <w:tcPr>
            <w:tcW w:type="dxa" w:w="3312"/>
          </w:tcPr>
          <w:p>
            <w:r>
              <w:rPr>
                <w:color w:val="17201D"/>
                <w:sz w:val="18"/>
              </w:rPr>
              <w:t>Frontend Client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React 18, TypeScript, Vite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Type safety, instant HMR, modular component structure, and sub-second bundle compilation.</w:t>
            </w:r>
          </w:p>
        </w:tc>
      </w:tr>
      <w:tr>
        <w:tc>
          <w:tcPr>
            <w:tcW w:type="dxa" w:w="3312"/>
          </w:tcPr>
          <w:p>
            <w:r>
              <w:rPr>
                <w:color w:val="17201D"/>
                <w:sz w:val="18"/>
              </w:rPr>
              <w:t>UI &amp; Styling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Custom Responsive CSS, Lucide Icons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Lightweight, ultra-responsive admin dashboard UI adhering to professional enterprise design guidelines.</w:t>
            </w:r>
          </w:p>
        </w:tc>
      </w:tr>
      <w:tr>
        <w:tc>
          <w:tcPr>
            <w:tcW w:type="dxa" w:w="3312"/>
          </w:tcPr>
          <w:p>
            <w:r>
              <w:rPr>
                <w:color w:val="17201D"/>
                <w:sz w:val="18"/>
              </w:rPr>
              <w:t>Backend API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Node.js 22, Express.js, TypeScript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Scalable asynchronous RESTful service with strict request validation and centralized exception handling.</w:t>
            </w:r>
          </w:p>
        </w:tc>
      </w:tr>
      <w:tr>
        <w:tc>
          <w:tcPr>
            <w:tcW w:type="dxa" w:w="3312"/>
          </w:tcPr>
          <w:p>
            <w:r>
              <w:rPr>
                <w:color w:val="17201D"/>
                <w:sz w:val="18"/>
              </w:rPr>
              <w:t>Database Tier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PostgreSQL (Neon Cloud &amp; Docker)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ACID-compliant relational engine with row-level locking (FOR UPDATE) for zero-race-condition transactions.</w:t>
            </w:r>
          </w:p>
        </w:tc>
      </w:tr>
      <w:tr>
        <w:tc>
          <w:tcPr>
            <w:tcW w:type="dxa" w:w="3312"/>
          </w:tcPr>
          <w:p>
            <w:r>
              <w:rPr>
                <w:color w:val="17201D"/>
                <w:sz w:val="18"/>
              </w:rPr>
              <w:t>Authentication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JWT (JSON Web Tokens) &amp; Bcrypt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Stateless, cryptographic authentication with salted password hashing and role-based route middleware.</w:t>
            </w:r>
          </w:p>
        </w:tc>
      </w:tr>
      <w:tr>
        <w:tc>
          <w:tcPr>
            <w:tcW w:type="dxa" w:w="3312"/>
          </w:tcPr>
          <w:p>
            <w:r>
              <w:rPr>
                <w:color w:val="17201D"/>
                <w:sz w:val="18"/>
              </w:rPr>
              <w:t>DevOps / Containers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Docker, Docker Compose, Nginx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Standardized containerization across database, backend API, and static frontend web server.</w:t>
            </w:r>
          </w:p>
        </w:tc>
      </w:tr>
      <w:tr>
        <w:tc>
          <w:tcPr>
            <w:tcW w:type="dxa" w:w="3312"/>
          </w:tcPr>
          <w:p>
            <w:r>
              <w:rPr>
                <w:color w:val="17201D"/>
                <w:sz w:val="18"/>
              </w:rPr>
              <w:t>CI / CD Automation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GitHub Actions</w:t>
            </w:r>
          </w:p>
        </w:tc>
        <w:tc>
          <w:tcPr>
            <w:tcW w:type="dxa" w:w="3312"/>
          </w:tcPr>
          <w:p>
            <w:r>
              <w:rPr>
                <w:color w:val="17201D"/>
                <w:sz w:val="18"/>
              </w:rPr>
              <w:t>Automated pipeline validating TypeScript compilation, linting, and production builds on push/PR.</w:t>
            </w:r>
          </w:p>
        </w:tc>
      </w:tr>
    </w:tbl>
    <w:p>
      <w:pPr>
        <w:keepNext/>
        <w:spacing w:before="280" w:after="120"/>
      </w:pPr>
      <w:r>
        <w:rPr>
          <w:rFonts w:ascii="Calibri" w:hAnsi="Calibri"/>
          <w:b/>
          <w:color w:val="102A22"/>
          <w:sz w:val="32"/>
        </w:rPr>
        <w:t>3. Verified Test Login Credentials</w:t>
      </w:r>
    </w:p>
    <w:p>
      <w:pPr>
        <w:spacing w:before="40" w:after="80" w:line="276" w:lineRule="auto"/>
      </w:pPr>
      <w:r>
        <w:rPr>
          <w:rFonts w:ascii="Calibri" w:hAnsi="Calibri"/>
          <w:color w:val="17201D"/>
          <w:sz w:val="21"/>
        </w:rPr>
        <w:t xml:space="preserve">All accounts are pre-seeded in the database with the uniform password: </w:t>
      </w:r>
    </w:p>
    <w:p>
      <w:r>
        <w:rPr>
          <w:b/>
          <w:color w:val="196F50"/>
          <w:sz w:val="22"/>
        </w:rPr>
        <w:t>Master Demo Password: Password@123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96F50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84"/>
            <w:shd w:fill="196F50"/>
          </w:tcPr>
          <w:p>
            <w:r>
              <w:rPr>
                <w:b/>
                <w:color w:val="FFFFFF"/>
                <w:sz w:val="19"/>
              </w:rPr>
              <w:t>Login Email</w:t>
            </w:r>
          </w:p>
        </w:tc>
        <w:tc>
          <w:tcPr>
            <w:tcW w:type="dxa" w:w="2484"/>
            <w:shd w:fill="196F50"/>
          </w:tcPr>
          <w:p>
            <w:r>
              <w:rPr>
                <w:b/>
                <w:color w:val="FFFFFF"/>
                <w:sz w:val="19"/>
              </w:rPr>
              <w:t>Password</w:t>
            </w:r>
          </w:p>
        </w:tc>
        <w:tc>
          <w:tcPr>
            <w:tcW w:type="dxa" w:w="2484"/>
            <w:shd w:fill="196F50"/>
          </w:tcPr>
          <w:p>
            <w:r>
              <w:rPr>
                <w:b/>
                <w:color w:val="FFFFFF"/>
                <w:sz w:val="19"/>
              </w:rPr>
              <w:t>Module Access &amp; Permissions Scope</w:t>
            </w:r>
          </w:p>
        </w:tc>
      </w:tr>
      <w:tr>
        <w:tc>
          <w:tcPr>
            <w:tcW w:type="dxa" w:w="2484"/>
          </w:tcPr>
          <w:p>
            <w:r>
              <w:rPr>
                <w:color w:val="17201D"/>
                <w:sz w:val="18"/>
              </w:rPr>
              <w:t>Admin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admin@fundsroom.local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Password@123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Full system access: CRM, Inventory, Stock Movements, Sales Challans, System Analytics.</w:t>
            </w:r>
          </w:p>
        </w:tc>
      </w:tr>
      <w:tr>
        <w:tc>
          <w:tcPr>
            <w:tcW w:type="dxa" w:w="2484"/>
          </w:tcPr>
          <w:p>
            <w:r>
              <w:rPr>
                <w:color w:val="17201D"/>
                <w:sz w:val="18"/>
              </w:rPr>
              <w:t>Sales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sales@fundsroom.local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Password@123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Sales domain: Create/edit customers, log follow-ups, draft and confirm multi-item sales challans.</w:t>
            </w:r>
          </w:p>
        </w:tc>
      </w:tr>
      <w:tr>
        <w:tc>
          <w:tcPr>
            <w:tcW w:type="dxa" w:w="2484"/>
          </w:tcPr>
          <w:p>
            <w:r>
              <w:rPr>
                <w:color w:val="17201D"/>
                <w:sz w:val="18"/>
              </w:rPr>
              <w:t>Warehouse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warehouse@fundsroom.local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Password@123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Inventory domain: Create/edit products, manage reorder alerts, record manual stock inward/outward.</w:t>
            </w:r>
          </w:p>
        </w:tc>
      </w:tr>
      <w:tr>
        <w:tc>
          <w:tcPr>
            <w:tcW w:type="dxa" w:w="2484"/>
          </w:tcPr>
          <w:p>
            <w:r>
              <w:rPr>
                <w:color w:val="17201D"/>
                <w:sz w:val="18"/>
              </w:rPr>
              <w:t>Accounts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accounts@fundsroom.local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Password@123</w:t>
            </w:r>
          </w:p>
        </w:tc>
        <w:tc>
          <w:tcPr>
            <w:tcW w:type="dxa" w:w="2484"/>
          </w:tcPr>
          <w:p>
            <w:r>
              <w:rPr>
                <w:color w:val="17201D"/>
                <w:sz w:val="18"/>
              </w:rPr>
              <w:t>Auditing domain: Read-only operational visibility, printable tax challans and transaction audit logs.</w:t>
            </w:r>
          </w:p>
        </w:tc>
      </w:tr>
    </w:tbl>
    <w:p>
      <w:pPr>
        <w:keepNext/>
        <w:spacing w:before="280" w:after="120"/>
      </w:pPr>
      <w:r>
        <w:rPr>
          <w:rFonts w:ascii="Calibri" w:hAnsi="Calibri"/>
          <w:b/>
          <w:color w:val="102A22"/>
          <w:sz w:val="32"/>
        </w:rPr>
        <w:t>4. Core Modules Implementation Details</w:t>
      </w:r>
    </w:p>
    <w:p>
      <w:pPr>
        <w:keepNext/>
        <w:spacing w:before="200" w:after="80"/>
      </w:pPr>
      <w:r>
        <w:rPr>
          <w:rFonts w:ascii="Calibri" w:hAnsi="Calibri"/>
          <w:b/>
          <w:color w:val="196F50"/>
          <w:sz w:val="26"/>
        </w:rPr>
        <w:t>Module 1: Authentication &amp; Role-Based Access Control (RBAC)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Secured JWT authentication flow with bearer token header transmission.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Express middleware 'allow(...roles)' rigorously enforces server-side role boundaries.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Frontend shell dynamically renders role-specific badges, workspace designations, and contextual action controls.</w:t>
      </w:r>
    </w:p>
    <w:p>
      <w:pPr>
        <w:keepNext/>
        <w:spacing w:before="200" w:after="80"/>
      </w:pPr>
      <w:r>
        <w:rPr>
          <w:rFonts w:ascii="Calibri" w:hAnsi="Calibri"/>
          <w:b/>
          <w:color w:val="196F50"/>
          <w:sz w:val="26"/>
        </w:rPr>
        <w:t>Module 2: Customer CRM Management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Fields tracked: Customer Name, Mobile, Email, Business Name, GST Number (Optional), Customer Type (Retail, Wholesale, Distributor), Address, Status (Lead, Active, Inactive), Follow-up Date, and Notes.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Real-time search functionality querying customer names and business entities.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Dedicated Customer Profile Drawer displaying contact records, registered GSTIN, and full history.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Interactive Follow-up Log: Sales users log chronological interactions and dynamically reschedule the next action date.</w:t>
      </w:r>
    </w:p>
    <w:p>
      <w:pPr>
        <w:keepNext/>
        <w:spacing w:before="200" w:after="80"/>
      </w:pPr>
      <w:r>
        <w:rPr>
          <w:rFonts w:ascii="Calibri" w:hAnsi="Calibri"/>
          <w:b/>
          <w:color w:val="196F50"/>
          <w:sz w:val="26"/>
        </w:rPr>
        <w:t>Module 3: Products &amp; Inventory Management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Fields tracked: Product Name, SKU Code, Category, Unit Price (INR), Current On-Hand Stock, Minimum Stock Alert Threshold, and Warehouse Location.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Dynamic low-stock indicators displaying red warning tags when on-hand quantity &lt;= minimum threshold.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In-place modal editing allowing warehouse managers to update price, stock levels, and alert rules.</w:t>
      </w:r>
    </w:p>
    <w:p>
      <w:pPr>
        <w:keepNext/>
        <w:spacing w:before="200" w:after="80"/>
      </w:pPr>
      <w:r>
        <w:rPr>
          <w:rFonts w:ascii="Calibri" w:hAnsi="Calibri"/>
          <w:b/>
          <w:color w:val="196F50"/>
          <w:sz w:val="26"/>
        </w:rPr>
        <w:t>Module 4: Stock Movement Audit Trail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Immutable record logging: Product, SKU, Movement Type (IN / OUT), Quantity Changed, Business Reason, Authorized User, and Timestamp.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Automatic background creation of 'OUT' movements upon challan confirmation, providing end-to-end trace integrity.</w:t>
      </w:r>
    </w:p>
    <w:p>
      <w:pPr>
        <w:keepNext/>
        <w:spacing w:before="200" w:after="80"/>
      </w:pPr>
      <w:r>
        <w:rPr>
          <w:rFonts w:ascii="Calibri" w:hAnsi="Calibri"/>
          <w:b/>
          <w:color w:val="196F50"/>
          <w:sz w:val="26"/>
        </w:rPr>
        <w:t>Module 5: Sales Challan Flow &amp; Concurrency Safety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Multi-Product Line Items: Sales users can dynamically add multiple product items to a single challan with live subtotal and inventory checks.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Automatic Challan Number Generation in formatted sequence (e.g. CH-2026-XXXXXX).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Draft vs. Confirmed status: Drafts reserve no inventory; Confirmed status atomically decrements inventory.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Historical Pricing Snapshot: Challan line items preserve product name, SKU, and unit price in challan_items to guarantee invoice immutability.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Row-Level Locking (SELECT ... FOR UPDATE) prevents race conditions and overselling.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7201D"/>
          <w:sz w:val="20"/>
        </w:rPr>
        <w:t>Zero Negative Stock Enforcement: If available inventory is insufficient, the transaction rolls back with HTTP 409 Conflict.</w:t>
      </w:r>
    </w:p>
    <w:p>
      <w:pPr>
        <w:keepNext/>
        <w:spacing w:before="280" w:after="120"/>
      </w:pPr>
      <w:r>
        <w:rPr>
          <w:rFonts w:ascii="Calibri" w:hAnsi="Calibri"/>
          <w:b/>
          <w:color w:val="102A22"/>
          <w:sz w:val="32"/>
        </w:rPr>
        <w:t>5. Bonus Points Implementation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1. Containerization: </w:t>
      </w:r>
      <w:r>
        <w:rPr>
          <w:rFonts w:ascii="Calibri" w:hAnsi="Calibri"/>
          <w:color w:val="17201D"/>
          <w:sz w:val="20"/>
        </w:rPr>
        <w:t>Docker Setup: Complete docker-compose.yml orchestrating PostgreSQL, multi-stage Node backend, and Nginx frontend.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2. Automated CI/CD: </w:t>
      </w:r>
      <w:r>
        <w:rPr>
          <w:rFonts w:ascii="Calibri" w:hAnsi="Calibri"/>
          <w:color w:val="17201D"/>
          <w:sz w:val="20"/>
        </w:rPr>
        <w:t>GitHub Actions CI: Fully automated .github/workflows/ci.yml pipeline for continuous integration and typechecking.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3. PDF Export: </w:t>
      </w:r>
      <w:r>
        <w:rPr>
          <w:rFonts w:ascii="Calibri" w:hAnsi="Calibri"/>
          <w:color w:val="17201D"/>
          <w:sz w:val="20"/>
        </w:rPr>
        <w:t>Invoice &amp; Delivery Challan PDF Export: One-click print/PDF layout with company headers, customer GST, itemized totals, and signatures.</w:t>
      </w:r>
    </w:p>
    <w:p>
      <w:pPr>
        <w:keepNext/>
        <w:spacing w:before="280" w:after="120"/>
      </w:pPr>
      <w:r>
        <w:rPr>
          <w:rFonts w:ascii="Calibri" w:hAnsi="Calibri"/>
          <w:b/>
          <w:color w:val="102A22"/>
          <w:sz w:val="32"/>
        </w:rPr>
        <w:t>6. Step-by-Step Local Execution Guide</w:t>
      </w:r>
    </w:p>
    <w:p>
      <w:pPr>
        <w:spacing w:before="40" w:after="80" w:line="276" w:lineRule="auto"/>
      </w:pPr>
      <w:r>
        <w:rPr>
          <w:rFonts w:ascii="Calibri" w:hAnsi="Calibri"/>
          <w:color w:val="17201D"/>
          <w:sz w:val="21"/>
        </w:rPr>
        <w:t>The project is 100% verified and operational on the development workstation.</w:t>
      </w:r>
    </w:p>
    <w:p>
      <w:pPr>
        <w:spacing w:before="40" w:after="80" w:line="276" w:lineRule="auto"/>
      </w:pPr>
      <w:r>
        <w:rPr>
          <w:rFonts w:ascii="Calibri" w:hAnsi="Calibri"/>
          <w:color w:val="17201D"/>
          <w:sz w:val="21"/>
        </w:rPr>
        <w:t>Step 1: Open VS Code terminal in the project directory (fundsroom project).</w:t>
      </w:r>
    </w:p>
    <w:p>
      <w:pPr>
        <w:spacing w:before="40" w:after="80" w:line="276" w:lineRule="auto"/>
      </w:pPr>
      <w:r>
        <w:rPr>
          <w:rFonts w:ascii="Calibri" w:hAnsi="Calibri"/>
          <w:color w:val="17201D"/>
          <w:sz w:val="21"/>
        </w:rPr>
        <w:t>Step 2: Start both client and server concurrently by executing:</w:t>
      </w:r>
    </w:p>
    <w:p>
      <w:r>
        <w:rPr>
          <w:rFonts w:ascii="Consolas" w:hAnsi="Consolas"/>
          <w:b/>
          <w:color w:val="196F50"/>
        </w:rPr>
        <w:t>pnpm dev   (or npm run dev)</w:t>
      </w:r>
    </w:p>
    <w:p>
      <w:pPr>
        <w:spacing w:before="40" w:after="80" w:line="276" w:lineRule="auto"/>
      </w:pPr>
      <w:r>
        <w:rPr>
          <w:rFonts w:ascii="Calibri" w:hAnsi="Calibri"/>
          <w:color w:val="17201D"/>
          <w:sz w:val="21"/>
        </w:rPr>
        <w:t>Step 3: Open your browser and navigate to: http://localhost:5173</w:t>
      </w:r>
    </w:p>
    <w:p>
      <w:pPr>
        <w:spacing w:before="40" w:after="80" w:line="276" w:lineRule="auto"/>
      </w:pPr>
      <w:r>
        <w:rPr>
          <w:rFonts w:ascii="Calibri" w:hAnsi="Calibri"/>
          <w:color w:val="17201D"/>
          <w:sz w:val="21"/>
        </w:rPr>
        <w:t>Step 4: Log in using any of the 4 test accounts listed in Section 3.</w:t>
      </w:r>
    </w:p>
    <w:p>
      <w:pPr>
        <w:keepNext/>
        <w:spacing w:before="280" w:after="120"/>
      </w:pPr>
      <w:r>
        <w:rPr>
          <w:rFonts w:ascii="Calibri" w:hAnsi="Calibri"/>
          <w:b/>
          <w:color w:val="102A22"/>
          <w:sz w:val="32"/>
        </w:rPr>
        <w:t>7. Screen Recording &amp; Submission Checklist</w:t>
      </w:r>
    </w:p>
    <w:p>
      <w:pPr>
        <w:spacing w:before="40" w:after="80" w:line="276" w:lineRule="auto"/>
      </w:pPr>
      <w:r>
        <w:rPr>
          <w:rFonts w:ascii="Calibri" w:hAnsi="Calibri"/>
          <w:color w:val="17201D"/>
          <w:sz w:val="21"/>
        </w:rPr>
        <w:t>As mandated in the assessment instructions, ensure the following steps are performed: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1. Screen Recording: </w:t>
      </w:r>
      <w:r>
        <w:rPr>
          <w:rFonts w:ascii="Calibri" w:hAnsi="Calibri"/>
          <w:color w:val="17201D"/>
          <w:sz w:val="20"/>
        </w:rPr>
        <w:t>Start your screen recorder (OBS Studio, Windows Game Bar [Win + G], or Loom).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2. CRM Flow: </w:t>
      </w:r>
      <w:r>
        <w:rPr>
          <w:rFonts w:ascii="Calibri" w:hAnsi="Calibri"/>
          <w:color w:val="17201D"/>
          <w:sz w:val="20"/>
        </w:rPr>
        <w:t>Demonstrate Admin login, overview metrics, and customer creation with GST number.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3. Follow-up Flow: </w:t>
      </w:r>
      <w:r>
        <w:rPr>
          <w:rFonts w:ascii="Calibri" w:hAnsi="Calibri"/>
          <w:color w:val="17201D"/>
          <w:sz w:val="20"/>
        </w:rPr>
        <w:t>Demonstrate customer detail view and logging a follow-up note with new date.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4. Inventory Flow: </w:t>
      </w:r>
      <w:r>
        <w:rPr>
          <w:rFonts w:ascii="Calibri" w:hAnsi="Calibri"/>
          <w:color w:val="17201D"/>
          <w:sz w:val="20"/>
        </w:rPr>
        <w:t>Demonstrate product catalog, low stock indicator, and editing a product.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5. Challan Flow: </w:t>
      </w:r>
      <w:r>
        <w:rPr>
          <w:rFonts w:ascii="Calibri" w:hAnsi="Calibri"/>
          <w:color w:val="17201D"/>
          <w:sz w:val="20"/>
        </w:rPr>
        <w:t>Create a multi-product Sales Challan as Draft, view its details, and confirm it.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6. Stock Verification: </w:t>
      </w:r>
      <w:r>
        <w:rPr>
          <w:rFonts w:ascii="Calibri" w:hAnsi="Calibri"/>
          <w:color w:val="17201D"/>
          <w:sz w:val="20"/>
        </w:rPr>
        <w:t>Demonstrate that stock was decremented and an OUT movement was created in the Audit log.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7. PDF Export: </w:t>
      </w:r>
      <w:r>
        <w:rPr>
          <w:rFonts w:ascii="Calibri" w:hAnsi="Calibri"/>
          <w:color w:val="17201D"/>
          <w:sz w:val="20"/>
        </w:rPr>
        <w:t>Click 'Print / Export PDF' to demonstrate the delivery note invoice.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8. Drive Upload: </w:t>
      </w:r>
      <w:r>
        <w:rPr>
          <w:rFonts w:ascii="Calibri" w:hAnsi="Calibri"/>
          <w:color w:val="17201D"/>
          <w:sz w:val="20"/>
        </w:rPr>
        <w:t>Upload recording to Google Drive (set permission to 'Anyone with the link can view').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7201D"/>
          <w:sz w:val="20"/>
        </w:rPr>
        <w:t xml:space="preserve">9. Form Submission: </w:t>
      </w:r>
      <w:r>
        <w:rPr>
          <w:rFonts w:ascii="Calibri" w:hAnsi="Calibri"/>
          <w:color w:val="17201D"/>
          <w:sz w:val="20"/>
        </w:rPr>
        <w:t>Submit the Google Form before 6:00 PM tomorrow with PDF solution &amp; Drive link.</w:t>
      </w:r>
    </w:p>
    <w:p>
      <w:pPr>
        <w:keepNext/>
        <w:spacing w:before="280" w:after="120"/>
      </w:pPr>
      <w:r>
        <w:rPr>
          <w:rFonts w:ascii="Calibri" w:hAnsi="Calibri"/>
          <w:b/>
          <w:color w:val="102A22"/>
          <w:sz w:val="32"/>
        </w:rPr>
        <w:t>8. Immediate Joining Confirmation</w:t>
      </w:r>
    </w:p>
    <w:p>
      <w:pPr>
        <w:spacing w:before="40" w:after="80" w:line="276" w:lineRule="auto"/>
      </w:pPr>
      <w:r>
        <w:rPr>
          <w:rFonts w:ascii="Calibri" w:hAnsi="Calibri"/>
          <w:color w:val="17201D"/>
          <w:sz w:val="21"/>
        </w:rPr>
        <w:t>I confirm my availability for immediate joining at Fundsroom in Pune, Maharashtra. I am fully comfortable with the Pune work location and look forward to contributing to Fundsroom's technology roadmap.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