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 w:line="300" w:lineRule="auto"/>
        <w:jc w:val="center"/>
      </w:pPr>
      <w:r>
        <w:rPr>
          <w:rFonts w:ascii="Calibri" w:hAnsi="Calibri"/>
          <w:b/>
          <w:i w:val="0"/>
          <w:color w:val="C38D2E"/>
          <w:sz w:val="22"/>
        </w:rPr>
        <w:t>RESEARCH WORKBOOK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/>
          <w:i w:val="0"/>
          <w:color w:val="0B2545"/>
          <w:sz w:val="62"/>
        </w:rPr>
        <w:t>BEYOND BIG-O</w:t>
      </w:r>
    </w:p>
    <w:p>
      <w:pPr>
        <w:spacing w:before="0" w:after="400" w:line="300" w:lineRule="auto"/>
        <w:jc w:val="center"/>
      </w:pPr>
      <w:r>
        <w:rPr>
          <w:rFonts w:ascii="Calibri" w:hAnsi="Calibri"/>
          <w:b w:val="0"/>
          <w:i w:val="0"/>
          <w:color w:val="2E74B5"/>
          <w:sz w:val="30"/>
        </w:rPr>
        <w:t>A Cross-Language Empirical Study of Runtime, Memory and Cache Performance of Common Data Structures</w:t>
      </w:r>
    </w:p>
    <w:p>
      <w:pPr>
        <w:spacing w:before="0" w:after="1080" w:line="300" w:lineRule="auto"/>
        <w:jc w:val="center"/>
      </w:pPr>
      <w:r>
        <w:rPr>
          <w:rFonts w:ascii="Calibri" w:hAnsi="Calibri"/>
          <w:b/>
          <w:i w:val="0"/>
          <w:color w:val="C38D2E"/>
          <w:sz w:val="24"/>
        </w:rPr>
        <w:t>Python  •  Java  •  C++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Guide third-year Computer Engineering students from a research question to a reproducible experiment, validated code, defensible analysis and an ethical journal manuscript.</w:t>
            </w:r>
          </w:p>
        </w:tc>
      </w:tr>
    </w:tbl>
    <w:p>
      <w:pPr>
        <w:spacing w:after="40"/>
      </w:pPr>
    </w:p>
    <w:p>
      <w:pPr>
        <w:spacing w:before="840" w:after="80" w:line="300" w:lineRule="auto"/>
        <w:jc w:val="center"/>
      </w:pPr>
      <w:r>
        <w:rPr>
          <w:rFonts w:ascii="Calibri" w:hAnsi="Calibri"/>
          <w:b/>
          <w:i w:val="0"/>
          <w:color w:val="0B2545"/>
          <w:sz w:val="22"/>
        </w:rPr>
        <w:t>Project mentor: Mahesh Patil</w:t>
      </w:r>
    </w:p>
    <w:p>
      <w:pPr>
        <w:spacing w:before="0" w:after="120" w:line="300" w:lineRule="auto"/>
        <w:jc w:val="center"/>
      </w:pPr>
      <w:r>
        <w:rPr>
          <w:rFonts w:ascii="Calibri" w:hAnsi="Calibri"/>
          <w:b w:val="0"/>
          <w:i/>
          <w:color w:val="5E6B78"/>
          <w:sz w:val="19"/>
        </w:rPr>
        <w:t>First research-framework edition • August 2026</w:t>
      </w:r>
    </w:p>
    <w:p>
      <w:r>
        <w:br w:type="page"/>
      </w:r>
    </w:p>
    <w:p>
      <w:pPr>
        <w:pStyle w:val="Heading1"/>
        <w:keepNext/>
      </w:pPr>
      <w:r>
        <w:t>How to Use This Workbook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Complete the workbook alongside the GitHub repository. Do not move to a later gate until the preceding gate has been reviewed and signed off.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200"/>
        <w:gridCol w:w="1260"/>
      </w:tblGrid>
      <w:tr>
        <w:trPr>
          <w:tblHeader w:val="true"/>
        </w:trPr>
        <w:tc>
          <w:tcPr>
            <w:tcW w:type="dxa" w:w="9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Gate</w:t>
            </w:r>
          </w:p>
        </w:tc>
        <w:tc>
          <w:tcPr>
            <w:tcW w:type="dxa" w:w="72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required</w:t>
            </w:r>
          </w:p>
        </w:tc>
        <w:tc>
          <w:tcPr>
            <w:tcW w:type="dxa" w:w="12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1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Research questions, hypotheses and scope approved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2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Common datasets generated; manifest preserved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3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All implementations pass correctness checks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4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Pilot experiment reviewed; timing protocol frozen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5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Full experiment completed without selective deletion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6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Statistical analysis and figures independently checked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7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Paper, code and research-integrity checklist complete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Team Agreement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Every student must understand at least one implementation and the complete experimental protocol.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No measurement may be edited, fabricated or omitted merely because it conflicts with expectations.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AI assistance, external code and datasets must be disclosed according to institutional and journal policy.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Authorship must reflect substantial intellectual and practical contributions.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>Team signatures and date: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1. Research Identity and Team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Institution / department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Faculty mentor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Student team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Project start date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Target completion date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GitHub repository URL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Role allocation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1800"/>
        <w:gridCol w:w="3860"/>
      </w:tblGrid>
      <w:tr>
        <w:trPr>
          <w:tblHeader w:val="true"/>
        </w:trPr>
        <w:tc>
          <w:tcPr>
            <w:tcW w:type="dxa" w:w="19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18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owner</w:t>
            </w:r>
          </w:p>
        </w:tc>
        <w:tc>
          <w:tcPr>
            <w:tcW w:type="dxa" w:w="18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Reviewer</w:t>
            </w:r>
          </w:p>
        </w:tc>
        <w:tc>
          <w:tcPr>
            <w:tcW w:type="dxa" w:w="38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Research lead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Protocol and decision log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Python lead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Implementation and tests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Java lead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Implementation and JVM notes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C++ lead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Implementation and compiler notes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Data/analysis lead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Validated datasets and analysis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Reproducibility lead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Environment log and rerun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Rule: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A primary owner may write the code, but a different student must review its correctness before benchmarking.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Research Questions and Hypotheses</w:t>
      </w:r>
    </w:p>
    <w:p>
      <w:pPr>
        <w:pStyle w:val="Heading2"/>
        <w:keepNext/>
      </w:pPr>
      <w:r>
        <w:t>Approved research questions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RQ1. How does language choice change the observed cost of equivalent data-structure operations?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RQ2. At what input sizes do theoretical advantages become observable in practice?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RQ3. How do access pattern and deletion rate affect runtime and cache behaviour?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RQ4. Can a normalised suitability score recommend a structure for different resource priorities?</w:t>
      </w:r>
    </w:p>
    <w:p>
      <w:pPr>
        <w:pStyle w:val="Heading2"/>
        <w:keepNext/>
      </w:pPr>
      <w:r>
        <w:t>Hypothesis worksheet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500"/>
        <w:gridCol w:w="2860"/>
        <w:gridCol w:w="3200"/>
      </w:tblGrid>
      <w:tr>
        <w:trPr>
          <w:tblHeader w:val="true"/>
        </w:trPr>
        <w:tc>
          <w:tcPr>
            <w:tcW w:type="dxa" w:w="8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Prediction</w:t>
            </w:r>
          </w:p>
        </w:tc>
        <w:tc>
          <w:tcPr>
            <w:tcW w:type="dxa" w:w="28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Reasoning</w:t>
            </w:r>
          </w:p>
        </w:tc>
        <w:tc>
          <w:tcPr>
            <w:tcW w:type="dxa" w:w="32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that could reject it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Hash search becomes faster at larger n.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Linked structures show poorer cache locality.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Language and structure interact significantly.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Novel contribution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State the contribution in one sentence. Avoid claiming that a comparison alone is novel.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3. Experimental Design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 type</w:t>
            </w:r>
          </w:p>
        </w:tc>
        <w:tc>
          <w:tcPr>
            <w:tcW w:type="dxa" w:w="71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Independent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Language, structure, input size and workload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Dependent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Operation time, peak RSS, cache references, cache misses, correctness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Controlled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Machine, dataset, seed, compiler flags, warm-ups, power mode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Blocking / nuisance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Execution order, background load, temperature, garbage collection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Workload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1800"/>
        <w:gridCol w:w="2160"/>
      </w:tblGrid>
      <w:tr>
        <w:trPr>
          <w:tblHeader w:val="true"/>
        </w:trPr>
        <w:tc>
          <w:tcPr>
            <w:tcW w:type="dxa" w:w="15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Operation</w:t>
            </w:r>
          </w:p>
        </w:tc>
        <w:tc>
          <w:tcPr>
            <w:tcW w:type="dxa" w:w="39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Exact definition</w:t>
            </w:r>
          </w:p>
        </w:tc>
        <w:tc>
          <w:tcPr>
            <w:tcW w:type="dxa" w:w="18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Included in timed region?</w:t>
            </w:r>
          </w:p>
        </w:tc>
        <w:tc>
          <w:tcPr>
            <w:tcW w:type="dxa" w:w="21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Validation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Build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Construct from all input values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Final element count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Search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Run the same present and absent queries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Hit count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Delete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Delete the same present keys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Remaining checksum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Traverse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Sum all remaining keys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Checksum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Dataset loading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Read and parse the file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SHA-256 manifest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CSV writing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Persist the result row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Schema check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Critical distinction: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The experiment compares idiomatic library structures, not identical internal implementations. Report this as a construct-validity limitation.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Environment and Reproducibility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62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Recorded value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CPU model / cores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RAM capacity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Operating system / kernel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Python version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Java / JVM version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C++ compiler and version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Compiler flags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-O2 -std=c++17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Power mode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Background services controlled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Linux perf permission status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Dataset manifest hash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Git commit hash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Pre-run checklist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Machine connected to stable power and unnecessary applications closed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Dataset manifest verified and repository working tree clean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Correct release build used; debug build excluded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Warm-up count and repetition count match the frozen configuration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System clock, thermal state and power mode recorded</w:t>
      </w:r>
    </w:p>
    <w:p>
      <w:r>
        <w:br w:type="page"/>
      </w:r>
    </w:p>
    <w:p>
      <w:pPr>
        <w:pStyle w:val="Heading1"/>
        <w:keepNext/>
      </w:pPr>
      <w:r>
        <w:t>5. GitHub and Code-Review Gate</w:t>
      </w:r>
    </w:p>
    <w:p>
      <w:pPr>
        <w:pStyle w:val="Heading2"/>
        <w:keepNext/>
      </w:pPr>
      <w:r>
        <w:t>Repository checklist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Professional GitHub accounts created; two-factor authentication enabled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Main branch protected; work completed through reviewed pull requests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README explains setup, fairness rules and repository map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No credentials, generated binaries or manually edited measurements committed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GitHub Actions validation passes on the exact commit used for experiments</w:t>
      </w:r>
    </w:p>
    <w:p>
      <w:pPr>
        <w:pStyle w:val="Heading2"/>
        <w:keepNext/>
      </w:pPr>
      <w:r>
        <w:t>Implementation review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300"/>
        <w:gridCol w:w="3600"/>
        <w:gridCol w:w="1360"/>
      </w:tblGrid>
      <w:tr>
        <w:trPr>
          <w:tblHeader w:val="true"/>
        </w:trPr>
        <w:tc>
          <w:tcPr>
            <w:tcW w:type="dxa" w:w="21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Language / structure</w:t>
            </w:r>
          </w:p>
        </w:tc>
        <w:tc>
          <w:tcPr>
            <w:tcW w:type="dxa" w:w="23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Correctness reviewer</w:t>
            </w:r>
          </w:p>
        </w:tc>
        <w:tc>
          <w:tcPr>
            <w:tcW w:type="dxa" w:w="36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evidence</w:t>
            </w:r>
          </w:p>
        </w:tc>
        <w:tc>
          <w:tcPr>
            <w:tcW w:type="dxa" w:w="13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Approved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Python / array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Python / linked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Python / hash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Java / array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Java / linked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Java / hash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C++ / array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C++ / linked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C++ / hash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Pilot Experiment and Validation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Generate the smallest dataset and preserve its manifest.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Run all structures in each available language with one recorded repetition.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Confirm that query hits and post-deletion checksums agree.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Inspect unusually small, zero or unstable timing values.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Repeat the pilot after a clean rebuild.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Freeze the protocol only after the pilot passes.</w:t>
      </w:r>
    </w:p>
    <w:p>
      <w:pPr>
        <w:pStyle w:val="Heading2"/>
        <w:keepNext/>
      </w:pPr>
      <w:r>
        <w:t>Pilot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2700"/>
        <w:gridCol w:w="2560"/>
      </w:tblGrid>
      <w:tr>
        <w:trPr>
          <w:tblHeader w:val="true"/>
        </w:trPr>
        <w:tc>
          <w:tcPr>
            <w:tcW w:type="dxa" w:w="22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Check</w:t>
            </w:r>
          </w:p>
        </w:tc>
        <w:tc>
          <w:tcPr>
            <w:tcW w:type="dxa" w:w="19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Expected</w:t>
            </w:r>
          </w:p>
        </w:tc>
        <w:tc>
          <w:tcPr>
            <w:tcW w:type="dxa" w:w="27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Observed</w:t>
            </w:r>
          </w:p>
        </w:tc>
        <w:tc>
          <w:tcPr>
            <w:tcW w:type="dxa" w:w="25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Hit counts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Identical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Checksums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Identical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Recorded rows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Complete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Timing variability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Explainable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Environment metadata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Complete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>Protocol changes made after pilot: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7. Full Experiment Run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Stop condition: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Stop the experiment immediately if correctness values disagree. Performance data from an incorrect implementation is invalid.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300"/>
        <w:gridCol w:w="1800"/>
        <w:gridCol w:w="1900"/>
        <w:gridCol w:w="2760"/>
      </w:tblGrid>
      <w:tr>
        <w:trPr>
          <w:tblHeader w:val="true"/>
        </w:trPr>
        <w:tc>
          <w:tcPr>
            <w:tcW w:type="dxa" w:w="16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Run date/time</w:t>
            </w:r>
          </w:p>
        </w:tc>
        <w:tc>
          <w:tcPr>
            <w:tcW w:type="dxa" w:w="13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Commit</w:t>
            </w:r>
          </w:p>
        </w:tc>
        <w:tc>
          <w:tcPr>
            <w:tcW w:type="dxa" w:w="18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Dataset(s)</w:t>
            </w:r>
          </w:p>
        </w:tc>
        <w:tc>
          <w:tcPr>
            <w:tcW w:type="dxa" w:w="19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Execution order seed</w:t>
            </w:r>
          </w:p>
        </w:tc>
        <w:tc>
          <w:tcPr>
            <w:tcW w:type="dxa" w:w="27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 / notes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Deviation log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Record every interruption, failed build, thermal concern, permission problem or rerun. Do not silently replace a run.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8. Analysis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200"/>
        <w:gridCol w:w="3060"/>
      </w:tblGrid>
      <w:tr>
        <w:trPr>
          <w:tblHeader w:val="true"/>
        </w:trPr>
        <w:tc>
          <w:tcPr>
            <w:tcW w:type="dxa" w:w="11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52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Required analysis</w:t>
            </w:r>
          </w:p>
        </w:tc>
        <w:tc>
          <w:tcPr>
            <w:tcW w:type="dxa" w:w="30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Minimum visual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RQ1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Language × structure comparison by operation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Distribution plus median trend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RQ2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Interaction with input size on logarithmic axes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Scaling curve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RQ3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Workload and cache-miss comparison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Effect plot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RQ4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DSSS sensitivity across weight combinations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Ranking stability plot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Statistical checklist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Report sample count, mean, median, standard deviation and 95% confidence interval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Examine distributions and outliers before selecting tests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Report effect sizes with p-values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Correct for multiple comparisons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Separate statistical significance from practical significance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Include negative and unexpected findings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Keep raw data immutable and analysis code versioned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>Primary statistical test and justification: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9. Data Structure Suitability Score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>For structure s, calculate:</w:t>
      </w:r>
    </w:p>
    <w:p>
      <w:pPr>
        <w:spacing w:before="160" w:after="280" w:line="300" w:lineRule="auto"/>
        <w:jc w:val="center"/>
      </w:pPr>
      <w:r>
        <w:rPr>
          <w:rFonts w:ascii="Calibri" w:hAnsi="Calibri"/>
          <w:b/>
          <w:i w:val="0"/>
          <w:color w:val="2E74B5"/>
          <w:sz w:val="30"/>
        </w:rPr>
        <w:t>DSSS(s) = wₜ·Tₙₒᵣₘ(s) + wₘ·Mₙₒᵣₘ(s) + w꜀·Cₙₒᵣₘ(s)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Term</w:t>
            </w:r>
          </w:p>
        </w:tc>
        <w:tc>
          <w:tcPr>
            <w:tcW w:type="dxa" w:w="71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Tₙₒᵣₘ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Normalised execution-time measure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Mₙₒᵣₘ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Normalised memory measure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Cₙₒᵣₘ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Normalised cache-miss measure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wₜ, wₘ, w꜀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Application-priority weights; together they must equal 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Mandatory sensitivity cases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1700"/>
        <w:gridCol w:w="1600"/>
        <w:gridCol w:w="2760"/>
      </w:tblGrid>
      <w:tr>
        <w:trPr>
          <w:tblHeader w:val="true"/>
        </w:trPr>
        <w:tc>
          <w:tcPr>
            <w:tcW w:type="dxa" w:w="18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Scenario</w:t>
            </w:r>
          </w:p>
        </w:tc>
        <w:tc>
          <w:tcPr>
            <w:tcW w:type="dxa" w:w="15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 weight</w:t>
            </w:r>
          </w:p>
        </w:tc>
        <w:tc>
          <w:tcPr>
            <w:tcW w:type="dxa" w:w="17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Memory weight</w:t>
            </w:r>
          </w:p>
        </w:tc>
        <w:tc>
          <w:tcPr>
            <w:tcW w:type="dxa" w:w="16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Cache weight</w:t>
            </w:r>
          </w:p>
        </w:tc>
        <w:tc>
          <w:tcPr>
            <w:tcW w:type="dxa" w:w="27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Expected use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Balanced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0.34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0.33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0.33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General-purpose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Speed-first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0.70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0.15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0.15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Latency-sensitive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Memory-first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0.70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0.15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Memory-limited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Cache-first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0.15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0.70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Locality-sensitive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Interpretation: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DSSS must support—not replace—the raw measurements. A ranking without sensitivity analysis would be arbitrary.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10. Paper Blueprint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600"/>
        <w:gridCol w:w="1260"/>
        <w:gridCol w:w="1000"/>
      </w:tblGrid>
      <w:tr>
        <w:trPr>
          <w:tblHeader w:val="true"/>
        </w:trPr>
        <w:tc>
          <w:tcPr>
            <w:tcW w:type="dxa" w:w="15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Section</w:t>
            </w:r>
          </w:p>
        </w:tc>
        <w:tc>
          <w:tcPr>
            <w:tcW w:type="dxa" w:w="56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Required content</w:t>
            </w:r>
          </w:p>
        </w:tc>
        <w:tc>
          <w:tcPr>
            <w:tcW w:type="dxa" w:w="12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10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Ready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Abstract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Problem, method, principal result, significance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Introduction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Motivation, gap, questions and contribution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Related work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Critical comparison; no catalogue of summaries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Method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Data, structures, operations, controls and statistics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Results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Validated measurements, uncertainty and figures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Discussion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Meaning, theory–practice differences and trade-offs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Validity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Internal, construct, external and conclusion validity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Conclusion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Direct answers, limitations and next study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Availability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Repository, commit, data and reproduction command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One-sentence contribution test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Complete: This study contributes 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AAB4BE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11. Research Integrity and Journal Check</w:t>
      </w:r>
    </w:p>
    <w:p>
      <w:pPr>
        <w:pStyle w:val="Heading2"/>
        <w:keepNext/>
      </w:pPr>
      <w:r>
        <w:t>Integrity declaration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All reported measurements were produced by the disclosed code and hardware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No inconvenient result was removed without a documented, protocol-based reason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External code, datasets and AI assistance were disclosed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Every author reviewed the final manuscript and underlying evidence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The repository commit corresponding to the paper is preserved</w:t>
      </w:r>
    </w:p>
    <w:p>
      <w:pPr>
        <w:pStyle w:val="Heading2"/>
        <w:keepNext/>
      </w:pPr>
      <w:r>
        <w:t>Journal screening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360"/>
      </w:tblGrid>
      <w:tr>
        <w:trPr>
          <w:tblHeader w:val="true"/>
        </w:trPr>
        <w:tc>
          <w:tcPr>
            <w:tcW w:type="dxa" w:w="50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Check</w:t>
            </w:r>
          </w:p>
        </w:tc>
        <w:tc>
          <w:tcPr>
            <w:tcW w:type="dxa" w:w="43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Journal scope matches empirical software/systems research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Current Scopus/SJR quartile verified for the relevant category and year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Publisher and editorial board are transparent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Peer-review process and fees are clearly stated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No guaranteed acceptance or suspiciously rapid publication promise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Author guidelines and research-data policy reviewed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Reminder: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Q4 is a ranking category, not permission to submit weak or unreproducible work. Quartiles can change by year and subject category.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12. Twelve-Week Execution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900"/>
        <w:gridCol w:w="4560"/>
      </w:tblGrid>
      <w:tr>
        <w:trPr>
          <w:tblHeader w:val="true"/>
        </w:trPr>
        <w:tc>
          <w:tcPr>
            <w:tcW w:type="dxa" w:w="9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Week</w:t>
            </w:r>
          </w:p>
        </w:tc>
        <w:tc>
          <w:tcPr>
            <w:tcW w:type="dxa" w:w="39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5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Exit evidence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Accounts, Git and topic orientation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Repository and team roles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Focused literature search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Evidence matrix and gap statement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Research questions and preregistration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Frozen draft protocol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Dataset generator and manifest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Validated common inputs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5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Python implementation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Tests and review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6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C++ implementation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Tests and review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7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Java implementation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Tests and review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8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Pilot and protocol correction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Pilot sign-off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9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Full experiments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Immutable raw data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10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Statistics and visualisation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Checked analysis outputs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11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Manuscript drafting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Complete internal draft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12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Independent reproduction and revision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Submission-ready package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Weekly mentor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400"/>
        <w:gridCol w:w="3400"/>
        <w:gridCol w:w="1160"/>
      </w:tblGrid>
      <w:tr>
        <w:trPr>
          <w:tblHeader w:val="true"/>
        </w:trPr>
        <w:tc>
          <w:tcPr>
            <w:tcW w:type="dxa" w:w="14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34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reviewed</w:t>
            </w:r>
          </w:p>
        </w:tc>
        <w:tc>
          <w:tcPr>
            <w:tcW w:type="dxa" w:w="34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Decision / action</w:t>
            </w:r>
          </w:p>
        </w:tc>
        <w:tc>
          <w:tcPr>
            <w:tcW w:type="dxa" w:w="11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Initials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Appendix A. Essential Commands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Purpose</w:t>
            </w:r>
          </w:p>
        </w:tc>
        <w:tc>
          <w:tcPr>
            <w:tcW w:type="dxa" w:w="68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Command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Generate datasets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python3 scripts/generate_datasets.py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Run unit tests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python3 -m unittest discover -s tests -v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Run smoke 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python3 scripts/run_all.py --smoke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Run full benchmark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python3 scripts/run_all.py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Analyse results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python3 scripts/analyse_results.py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Check repository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git status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Record exact commit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git rev-parse HEAD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Linux cache profiling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Use scripts/profile_linux.sh to capture cache references, cache misses, cycles, instructions and peak resident memory. Hardware counters may require administrator configuration; record any limitation.</w:t>
      </w:r>
    </w:p>
    <w:p>
      <w:pPr>
        <w:pStyle w:val="Heading2"/>
        <w:keepNext/>
      </w:pPr>
      <w:r>
        <w:t>Final handover package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Manuscript and cover letter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Source code at a tagged commit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Dataset manifest and raw results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Analysis code and processed tables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Environment record and reproduction instructions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☐ Contributor and AI-use declarations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E6B78"/>
        <w:sz w:val="17"/>
      </w:rPr>
      <w:t>Reproducible research • Version 0.1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E6B78"/>
        <w:sz w:val="17"/>
      </w:rPr>
      <w:t>BEYOND BIG-O  |  STUDENT RESEARCH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Big-O Student Research Workbook</dc:title>
  <dc:subject>Cross-language data-structure performance research</dc:subject>
  <dc:creator>Mahesh Patil</dc:creator>
  <cp:keywords>Big-O, data structures, Python, Java, C++, cache, reproducibility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