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four supplementary checks added on 25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final supplement (Section 4.8) added peak memory, coarse instruction/cycle counters, a thermal snapshot and a second input-distribution family: search, deletion and traversal were robust to distribution, but C++ insertion was not, for reasons not yet identified. The findings support teaching Big-O together with implementation-aware measurement, while the single-machine scope, absence of literal cache-miss counters,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of the six original future-work items within a single Mac's reach, leaving only literal cache-miss counters and independent-system reproduction as genuinely out of scope here.</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no independent second system has reproduced any part of this study.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This revision closed four of the six original future-work items within a single Mac's reach: Section 4.6 added Java as a third language; Section 4.7 resolved the sub-microsecond timing caveat for read-only operations through calibrated batching; and Section 4.8 added peak memory, two coarse hardware counters, a thermal/power snapshot and a second input-distribution family -- the last of which surfaced a genuine new finding, that C++ insertion, unlike search, deletion and traversal, responds substantially to input order.</w:t>
      </w:r>
    </w:p>
    <w:p>
      <w:pPr>
        <w:spacing w:before="80" w:after="160" w:line="300" w:lineRule="auto"/>
        <w:ind w:left="216" w:right="216"/>
        <w:shd w:fill="E8EEF5"/>
      </w:pPr>
      <w:r>
        <w:rPr>
          <w:rFonts w:ascii="Calibri" w:hAnsi="Calibri"/>
          <w:b/>
          <w:i w:val="0"/>
          <w:color w:val="1F4D78"/>
          <w:sz w:val="22"/>
        </w:rPr>
        <w:t xml:space="preserve">Future scope: </w:t>
      </w:r>
      <w:r>
        <w:rPr>
          <w:rFonts w:ascii="Calibri" w:hAnsi="Calibri"/>
          <w:b w:val="0"/>
          <w:i w:val="0"/>
          <w:color w:val="0B2545"/>
          <w:sz w:val="22"/>
        </w:rPr>
        <w:t>Three extensions define the next study rather than this one's shortfall: batching the mutating insert and delete operations to explain the input-order sensitivity Section 4.8 surfaced -- harder than the read-only case, since it requires rebuilding the container between batches; reproducing this protocol on an independent second system; and measuring literal L1/L2/L3 cache hit and miss counts, which require Linux perf and are unavailable on this Mac. Each should be reported as new evidence, not combined silently with the present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and the second-distribution supplement (Section 4.8) adds 360 further records with SHA-256 digest 8082b52d4b6b90ee8ce47d1c3169e869a89494cf79181d68f68e72ccb273d5dc.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