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Varun Patil</w:t>
      </w:r>
    </w:p>
    <w:p>
      <w:pPr>
        <w:keepNext w:val="0"/>
        <w:spacing w:before="0" w:after="40" w:line="320" w:lineRule="auto"/>
      </w:pPr>
      <w:r>
        <w:rPr>
          <w:rFonts w:ascii="Calibri" w:hAnsi="Calibri"/>
          <w:b w:val="0"/>
          <w:i/>
          <w:color w:val="5E6B78"/>
          <w:sz w:val="20"/>
        </w:rPr>
        <w:t>Shah &amp; Anchor Kutchhi Engineering College, Mumbai, Maharashtra, India</w:t>
      </w:r>
    </w:p>
    <w:p>
      <w:pPr>
        <w:keepNext w:val="0"/>
        <w:spacing w:before="0" w:after="240" w:line="320" w:lineRule="auto"/>
      </w:pPr>
      <w:r>
        <w:rPr>
          <w:rFonts w:ascii="Calibri" w:hAnsi="Calibri"/>
          <w:b w:val="0"/>
          <w:i/>
          <w:color w:val="5E6B78"/>
          <w:sz w:val="18"/>
        </w:rPr>
        <w:t>* Corresponding author (mahesh.patil@sakec.ac.in)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supplementary construct-validity (Section 4.5) and third-language (Section 4.6) checks added on 25 August 2026.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(Section 3.4) rather than a stable absolute figure; a calibrated-batching supplement (Section 4.7) confirmed the affected medians were directionally correct and reduced their dispersion from clock-tick noise to under 2% CV in three of four sizes.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(Section 4.5) rather than narrowing it. A further supplementary run added Java as a third language (Section 4.6): Java's ratio to C++ was operation-dependent rather than uniformly intermediate between Python and C++, and Java was slower than Python on four of the twelve structure-operation combinations despite being faster overall. Measurement dispersion for Java was substantially higher than for the primary design (median CV 38.6% versus 4.0%), concentrated in short-duration operations consistent with JIT compilation transitioning mid-measurement; among the four combinations with low dispersion (CV under 6%), Java's ratio to C++ was a narrower 1.49x-1.64x, and headline extremes outside that range should be read as indicative rather than precise. The findings support teaching Big-O together with implementation-aware measurement, while the single-machine scope, absence of hardware-counter data, and submicrosecond C++ measurements make the work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Java; microbenchmarking; reproducibility; construct validity</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ListBullet"/>
        <w:spacing w:after="80" w:line="290" w:lineRule="auto"/>
        <w:ind w:left="540" w:hanging="279"/>
        <w:jc w:val="left"/>
      </w:pPr>
      <w:r>
        <w:rPr>
          <w:rFonts w:ascii="Calibri" w:hAnsi="Calibri"/>
          <w:b w:val="0"/>
          <w:i w:val="0"/>
          <w:color w:val="0B2545"/>
          <w:sz w:val="22"/>
        </w:rPr>
        <w:t>A third-language check that re-runs the full workload under Java, testing whether the Python/C++ pattern generalises rather than leaving Java's absence as an unaddressed limitation.</w:t>
      </w:r>
    </w:p>
    <w:p>
      <w:pPr>
        <w:pStyle w:val="ListBullet"/>
        <w:spacing w:after="80" w:line="290" w:lineRule="auto"/>
        <w:ind w:left="540" w:hanging="279"/>
        <w:jc w:val="left"/>
      </w:pPr>
      <w:r>
        <w:rPr>
          <w:rFonts w:ascii="Calibri" w:hAnsi="Calibri"/>
          <w:b w:val="0"/>
          <w:i w:val="0"/>
          <w:color w:val="0B2545"/>
          <w:sz w:val="22"/>
        </w:rPr>
        <w:t>A calibrated-batching supplement that resolves the two resolution-limited C++ groups into stable, low-dispersion estimates, converting an open measurement caveat into a quantified one.</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 Section 4.7 reports a calibrated-batching supplement that resolves this ambiguity for the affected groups.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2"/>
        <w:keepNext/>
      </w:pPr>
      <w:r>
        <w:t>4.6 External-validity check: adding Java as a third language</w:t>
      </w:r>
    </w:p>
    <w:p>
      <w:pPr>
        <w:keepNext w:val="0"/>
        <w:spacing w:before="0" w:after="160" w:line="320" w:lineRule="auto"/>
        <w:jc w:val="both"/>
      </w:pPr>
      <w:r>
        <w:rPr>
          <w:rFonts w:ascii="Calibri" w:hAnsi="Calibri"/>
          <w:b w:val="0"/>
          <w:i w:val="0"/>
          <w:color w:val="0B2545"/>
          <w:sz w:val="22"/>
        </w:rPr>
        <w:t>Section 6.3 notes that Java was not executed in the primary study because no working JDK was available at measurement time. To test whether the reported Python/C++ pattern generalises to a third, managed-runtime language, the Java benchmark already scaffolded in the repository was compiled and run under OpenJDK 26.0.2.1 (Homebrew) across all three structures and four input sizes with the identical three-warm-up, ten-repetition protocol, on 25 August 2026. Every Java run reproduced the same search-hit count and post-deletion checksum as the corresponding Python and C++ runs at every input size, verified programmatically before the comparison was computed.</w:t>
      </w:r>
    </w:p>
    <w:p>
      <w:pPr>
        <w:keepNext/>
        <w:spacing w:before="80" w:after="80" w:line="320" w:lineRule="auto"/>
      </w:pPr>
      <w:r>
        <w:rPr>
          <w:rFonts w:ascii="Calibri" w:hAnsi="Calibri"/>
          <w:b/>
          <w:i w:val="0"/>
          <w:color w:val="1F4D78"/>
          <w:sz w:val="19"/>
        </w:rPr>
        <w:t>Table 5. Median workload runtime at n = 25,000 including Java (ten repetitions).</w:t>
      </w:r>
    </w:p>
    <w:tbl>
      <w:tblPr>
        <w:tblStyle w:val="TableGrid"/>
        <w:tblW w:type="dxa" w:w="9760"/>
        <w:jc w:val="left"/>
        <w:tblLayout w:type="fixed"/>
        <w:tblLook w:firstColumn="1" w:firstRow="1" w:lastColumn="0" w:lastRow="0" w:noHBand="0" w:noVBand="1" w:val="04A0"/>
        <w:tblInd w:w="120" w:type="dxa"/>
      </w:tblPr>
      <w:tblGrid>
        <w:gridCol w:w="1500"/>
        <w:gridCol w:w="1600"/>
        <w:gridCol w:w="1750"/>
        <w:gridCol w:w="1750"/>
        <w:gridCol w:w="1550"/>
        <w:gridCol w:w="161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C++17</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Python 3.13</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0.0066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0.0312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0.2406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36.66x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1.425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16.389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2.121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1.072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16.401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1.732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1.62x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0.958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0.0878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0.1052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109.78x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0.2152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3.376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0.0890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0.41x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5.712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123.330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9.382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3.742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76.788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6.096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0.0297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0.7406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0.0491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1.65x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0.2779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0.6200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0.5437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1.96x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0.708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0.0096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0.0086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12.09x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0.0049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0.0091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0.0149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3.03x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0.1087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0.4498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15.25x</w:t>
            </w:r>
          </w:p>
        </w:tc>
      </w:tr>
    </w:tbl>
    <w:p>
      <w:pPr>
        <w:spacing w:after="40"/>
      </w:pP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Median CV across the Java supplement's 48 (structure, size, operation) groups was 38.6%, versus 4.0% for the primary Python/C++ design, and the maximum reached 147.0%. Dispersion was concentrated in groups with short absolute durations, including linked insertion at n = 25,000 (CV = 116.2%: several repetitions cluster near tens of microseconds while others exceed one millisecond), consistent with the JIT compiler transitioning from interpreted to compiled execution partway through the ten recorded repetitions despite three unrecorded warm-ups. Array and linked search and delete at n = 25,000, the longest-duration groups, remained stable (CV under 6%). Ratios computed from high-dispersion groups should be read as indicative rather than precise.</w:t>
      </w:r>
    </w:p>
    <w:p>
      <w:pPr>
        <w:keepNext w:val="0"/>
        <w:spacing w:before="0" w:after="160" w:line="320" w:lineRule="auto"/>
        <w:jc w:val="both"/>
      </w:pPr>
      <w:r>
        <w:rPr>
          <w:rFonts w:ascii="Calibri" w:hAnsi="Calibri"/>
          <w:b w:val="0"/>
          <w:i w:val="0"/>
          <w:color w:val="0B2545"/>
          <w:sz w:val="22"/>
        </w:rPr>
        <w:t>Java's ratio to C++ was operation-dependent rather than uniformly intermediate between the interpreted and compiled extremes: across the twelve structure-operation combinations it ranged from 0.41x (linked insertion) to 109.78x (array traversal), a wider spread than the Python/C++ range for the same twelve combinations, though both extremes sit in high-dispersion groups (see the measurement caveat above).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such gap was array insertion, where Java's median (0.241 ms) was about 7.7 times Python's (0.031 ms) and 36.66 times C++'s; hash traversal was next, at roughly four times Python's median. Both plausibly reflect boxed-object overhead specific to Java's reference-type collections -- ArrayList&lt;Integer&gt; resizing and autoboxing for insertion, boxed-Long iteration for HashMap traversal -- rather than a general JVM weakness, since Java was faster than Python on hash insertion and search for the same structure. Scaling exponents for the stable search and deletion operations between n = 5,000 and n = 25,000 were 2.08 and 1.91 for the array and 1.97 and 1.85 for the linked structure, consistent with the same batch-scaling explanation given in Section 5.1. These results reinforce rather than complicate the paper's central methodological point: coarse language-level generalisations do not hold uniformly across operations, and the measurement itself, not just the workload, must be scrutinised before a ratio is trusted.</w:t>
      </w:r>
    </w:p>
    <w:p>
      <w:pPr>
        <w:pStyle w:val="Heading2"/>
        <w:keepNext/>
      </w:pPr>
      <w:r>
        <w:t>4.7 Measurement-resolution supplement: calibrated batching</w:t>
      </w:r>
    </w:p>
    <w:p>
      <w:pPr>
        <w:keepNext w:val="0"/>
        <w:spacing w:before="0" w:after="160" w:line="320" w:lineRule="auto"/>
        <w:jc w:val="both"/>
      </w:pPr>
      <w:r>
        <w:rPr>
          <w:rFonts w:ascii="Calibri" w:hAnsi="Calibri"/>
          <w:b w:val="0"/>
          <w:i w:val="0"/>
          <w:color w:val="0B2545"/>
          <w:sz w:val="22"/>
        </w:rPr>
        <w:t>Section 3.4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therefore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 verified programmatically before the comparison was computed.</w:t>
      </w:r>
    </w:p>
    <w:p>
      <w:pPr>
        <w:keepNext/>
        <w:spacing w:before="80" w:after="80" w:line="320" w:lineRule="auto"/>
      </w:pPr>
      <w:r>
        <w:rPr>
          <w:rFonts w:ascii="Calibri" w:hAnsi="Calibri"/>
          <w:b/>
          <w:i w:val="0"/>
          <w:color w:val="1F4D78"/>
          <w:sz w:val="19"/>
        </w:rPr>
        <w:t>Table 6. Single-shot versus calibrated-batch median per-operation time.</w:t>
      </w:r>
    </w:p>
    <w:tbl>
      <w:tblPr>
        <w:tblStyle w:val="TableGrid"/>
        <w:tblW w:type="dxa" w:w="8760"/>
        <w:jc w:val="left"/>
        <w:tblLayout w:type="fixed"/>
        <w:tblLook w:firstColumn="1" w:firstRow="1" w:lastColumn="0" w:lastRow="0" w:noHBand="0" w:noVBand="1" w:val="04A0"/>
        <w:tblInd w:w="120" w:type="dxa"/>
      </w:tblPr>
      <w:tblGrid>
        <w:gridCol w:w="1300"/>
        <w:gridCol w:w="1500"/>
        <w:gridCol w:w="1200"/>
        <w:gridCol w:w="1700"/>
        <w:gridCol w:w="1700"/>
        <w:gridCol w:w="1360"/>
      </w:tblGrid>
      <w:tr>
        <w:trPr>
          <w:tblHeader w:val="true"/>
        </w:trPr>
        <w:tc>
          <w:tcPr>
            <w:tcW w:type="dxa" w:w="13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200"/>
            <w:shd w:fill="2E74B5"/>
            <w:vAlign w:val="center"/>
            <w:tcMar>
              <w:top w:w="80" w:type="dxa"/>
              <w:start w:w="120" w:type="dxa"/>
              <w:bottom w:w="80" w:type="dxa"/>
              <w:end w:w="120" w:type="dxa"/>
            </w:tcMar>
          </w:tcPr>
          <w:p>
            <w:pPr>
              <w:spacing w:after="0"/>
              <w:jc w:val="center"/>
            </w:pPr>
            <w:r>
              <w:rPr>
                <w:rFonts w:ascii="Calibri" w:hAnsi="Calibri"/>
                <w:b/>
                <w:i w:val="0"/>
                <w:color w:val="FFFFFF"/>
                <w:sz w:val="16"/>
              </w:rPr>
              <w:t>n</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Single-shot</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w:t>
            </w:r>
          </w:p>
        </w:tc>
        <w:tc>
          <w:tcPr>
            <w:tcW w:type="dxa" w:w="136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 CV</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42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47.0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190.5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417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377.5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958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937.0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0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16.0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2.9%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166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133.5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333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265.5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688.0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bl>
    <w:p>
      <w:pPr>
        <w:spacing w:after="40"/>
      </w:pPr>
    </w:p>
    <w:p>
      <w:pPr>
        <w:keepNext w:val="0"/>
        <w:spacing w:before="0" w:after="160" w:line="320" w:lineRule="auto"/>
        <w:jc w:val="both"/>
      </w:pPr>
      <w:r>
        <w:rPr>
          <w:rFonts w:ascii="Calibri" w:hAnsi="Calibri"/>
          <w:b w:val="0"/>
          <w:i w:val="0"/>
          <w:color w:val="0B2545"/>
          <w:sz w:val="22"/>
        </w:rPr>
        <w:t>Calibrated batching resolved the ambiguity the primary design could not: the C++ hash-search median at n = 1,000, recorded as zero in the single-shot design, resolves to 16 ns under batching -- a real, non-zero cost, not literal zero-cost lookup. Dispersion across the eight (structure, operation, n) groups was far lower than the single-shot design's: median CV 1.4%, maximum 11.9% (the array-traversal group at n = 1,000, still the smallest absolute magnitude tested). Calibrated medians were consistently close to but somewhat below the original single-shot medians at every size (for example, array traversal at n = 25,000: 937 ns calibrated versus 958 ns single-shot), consistent with the single-shot design carrying a small, roughly constant per-call overhead that batching amortises away. This confirms the primary study's point estimates were directionally correct despite their high dispersion, and converts the resolution-limited caveat in Section 3.4 from an open concern into a quantified, resolved one.</w:t>
      </w: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4.7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and cannot be repeated without rebuilding it between batches; a revised benchmark should rebuild-and-batch these operations too and should separately quantify timing overhead.</w:t>
      </w:r>
    </w:p>
    <w:p>
      <w:pPr>
        <w:keepNext w:val="0"/>
        <w:spacing w:before="0" w:after="160" w:line="320" w:lineRule="auto"/>
        <w:jc w:val="both"/>
      </w:pPr>
      <w:r>
        <w:rPr>
          <w:rFonts w:ascii="Calibri" w:hAnsi="Calibri"/>
          <w:b w:val="0"/>
          <w:i w:val="0"/>
          <w:color w:val="0B2545"/>
          <w:sz w:val="22"/>
        </w:rPr>
        <w:t>The three-warm-up protocol, calibrated for the primary C++/Python design, proved insufficient for several fast Java operations (Section 4.6): median CV across the Java supplement's 48 groups was 38.6% versus 4.0% for the primary design, consistent with JIT compilation transitioning from interpreted to compiled execution mid-measurement. A revised Java benchmark should detect steady state explicitly, for example by warming up until consecutive batches agree within a tolerance, rather than relying on a fixed repetition count.</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cache behaviour were proposed in the broader project but were not measured on this Mac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in the primary 23 August 2026 session because no working JDK was available; Section 4.6 reports a supplementary Java run added on 25 August 2026 using a subsequently installed JDK on the same machine, so that check still shares this section's single-machine limitation. The conclusions are therefore restricted to this environment and protocol.</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Before journal submission, the benchmark should collect peak resident memory and hardware cache counters on a controlled Linux machine, record temperature and power mode, test additional input distributions, batch the mutating insert and delete operations (calibrated batching for the read-only search and traversal operations was completed in Section 4.7), and reproduce the experiment on at least one independent system. The Java results in Section 4.6 address the language-coverage gap but not the single-machine, single-session limitation; a full three-language run alongside a second machine remains future work. Those extensions should be reported as new evidence, not combined silently with the present Mac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C++ and Java implementations,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the supplementary Java run (Section 4.6) adds 120 further records with SHA-256 digest a925f8e56720fb234324b4bed00328c1643feb8e741eb44e9f7c1cc3ec705ea2; and the calibrated-batching supplement (Section 4.7) adds 80 further records with SHA-256 digest 243ff2cd1301c90169059664a4ded1584e060dc7aaa00e1ad497304d2a1e92f9. The repository is publicly available at https://github.com/maheshchudaman/beyond-big-o-research and is archived on Zenodo with concept DOI 10.5281/zenodo.22089928, which always resolves to the latest archived release.</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Generative AI (Codex and Claude) assisted with repository scaffolding, code review, execution orchestration, analysis scripting and preparation of this draft, including the supplementary construct-validity and third-language checks added on 25 August 2026. All numerical claims in the manuscript were generated programmatically from the preserved raw CSV; missing measurements were not fabricated. Before submission, the named authors must independently verify the code, results, citations and wording, approve authorship contributions, and adapt this disclosure to the selected journal's policy.</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Arcuri, A., and Briand, L. (2011). A practical guide for using statistical tests to assess randomized algorithms in software engineering. Proceedings of ICSE 2011, 1-10. https://doi.org/10.1145/1985793.1985795</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Sandve, G. K., Nekrutenko, A., Taylor, J., and Hovig, E. (2013). Ten simple rules for reproducible computational research. PLOS Computational Biology, 9(10), e1003285. https://doi.org/10.1371/journal.pcbi.1003285</w:t>
      </w:r>
    </w:p>
    <w:p>
      <w:pPr>
        <w:pStyle w:val="ListNumber"/>
        <w:spacing w:after="100" w:line="276" w:lineRule="auto"/>
        <w:ind w:left="504" w:hanging="360"/>
      </w:pPr>
      <w:r>
        <w:rPr>
          <w:rFonts w:ascii="Calibri" w:hAnsi="Calibri"/>
          <w:b w:val="0"/>
          <w:i w:val="0"/>
          <w:color w:val="0B2545"/>
          <w:sz w:val="19"/>
        </w:rPr>
        <w:t>Peng, R. D. (2011). Reproducible research in computational science. Science, 334(6060), 1226-1227. https://doi.org/10.1126/science.1213847</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Cliff, N. (1993). Dominance statistics: Ordinal analyses to answer ordinal questions. Psychological Bulletin, 114(3), 494-509. https://doi.org/10.1037/0033-2909.114.3.494</w:t>
      </w:r>
    </w:p>
    <w:p>
      <w:pPr>
        <w:pStyle w:val="ListNumber"/>
        <w:spacing w:after="100" w:line="276" w:lineRule="auto"/>
        <w:ind w:left="504" w:hanging="360"/>
      </w:pPr>
      <w:r>
        <w:rPr>
          <w:rFonts w:ascii="Calibri" w:hAnsi="Calibri"/>
          <w:b w:val="0"/>
          <w:i w:val="0"/>
          <w:color w:val="0B2545"/>
          <w:sz w:val="19"/>
        </w:rPr>
        <w:t>Vargha, A., and Delaney, H. D. (2000). A critique and improvement of the CL common language effect size statistics of McGraw and Wong. Journal of Educational and Behavioral Statistics, 25(2), 101-132. https://doi.org/10.3102/10769986025002101</w:t>
      </w:r>
    </w:p>
    <w:p>
      <w:pPr>
        <w:pStyle w:val="ListNumber"/>
        <w:spacing w:after="100" w:line="276" w:lineRule="auto"/>
        <w:ind w:left="504" w:hanging="360"/>
      </w:pPr>
      <w:r>
        <w:rPr>
          <w:rFonts w:ascii="Calibri" w:hAnsi="Calibri"/>
          <w:b w:val="0"/>
          <w:i w:val="0"/>
          <w:color w:val="0B2545"/>
          <w:sz w:val="19"/>
        </w:rPr>
        <w:t>Chilimbi, T. M., Hill, M. D., and Larus, J. R. (1999). Cache-conscious structure layout. Proceedings of PLDI 1999, 1-12. https://doi.org/10.1145/301618.301633</w:t>
      </w:r>
    </w:p>
    <w:p>
      <w:pPr>
        <w:pStyle w:val="ListNumber"/>
        <w:spacing w:after="100" w:line="276" w:lineRule="auto"/>
        <w:ind w:left="504" w:hanging="360"/>
      </w:pPr>
      <w:r>
        <w:rPr>
          <w:rFonts w:ascii="Calibri" w:hAnsi="Calibri"/>
          <w:b w:val="0"/>
          <w:i w:val="0"/>
          <w:color w:val="0B2545"/>
          <w:sz w:val="19"/>
        </w:rPr>
        <w:t>Drepper, U. (2007). What Every Programmer Should Know About Memory. Red Hat, Inc.</w:t>
      </w:r>
    </w:p>
    <w:p>
      <w:pPr>
        <w:pStyle w:val="ListNumber"/>
        <w:spacing w:after="100" w:line="276" w:lineRule="auto"/>
        <w:ind w:left="504" w:hanging="360"/>
      </w:pPr>
      <w:r>
        <w:rPr>
          <w:rFonts w:ascii="Calibri" w:hAnsi="Calibri"/>
          <w:b w:val="0"/>
          <w:i w:val="0"/>
          <w:color w:val="0B2545"/>
          <w:sz w:val="19"/>
        </w:rPr>
        <w:t>Astrachan, O. (2003). Bubble sort: an archaeological algorithmic analysis. ACM SIGCSE Bulletin, 35(1), 1-5. https://doi.org/10.1145/611892.611918</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Java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results/raw/java_combined.csv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Java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src/java/Benchmark.java</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Calibration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results/raw/cpp_calibrated_combined.csv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Calibration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(run_calibrated)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Varun Patil</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