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checks added on 25-26 August 2026: construct-validity (Section 4.5), a third language (Section 4.6), calibrated batching (Section 4.7), resource-usage and second-distribution supplements (Section 4.8), and an independent Windows reproduction (Section 4.9).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five supplementary checks added across 25-26 August 2026 that test the primary findings rather than merely disclosing them as caveats. A singly-linked std::forward_list re-run (Section 4.5) reproduced the same pattern of ratios as the primary std::list comparison. Adding Java as a third language (Section 4.6) showed an operation-dependent ratio to C++, slower than Python on four of twelve combinations, though the widest ratios coincide with measurement dispersion far higher than the primary design (median CV 38.6% vs 4.0%); low-dispersion combinations gave a narrower, more defensible 1.49x-1.64x range. Calibrated batching (Section 4.7) resolved the two resolution-limited C++ groups flagged since the first draft, cutting their dispersion from clock-tick noise to under 2% CV. A further supplement (Section 4.8) added peak memory, coarse instruction/cycle counters, a thermal snapshot and a second input-distribution family: search, deletion and traversal were robust to distribution, but C++ insertion was not, for reasons not yet identified. An independent reproduction on a separately owned Windows machine (Section 4.9) then confirmed C++ was faster than Python in all twelve combinations there too, though the magnitude of the gap shifted substantially by structure and operation rather than transferring unchanged. The findings support teaching Big-O together with implementation-aware measurement, while the absence of literal cache-miss counters, the small two-machine sample, and the unresolved insertion-distribution effect keep this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Plain-Language Summary</w:t>
      </w:r>
    </w:p>
    <w:p>
      <w:pPr>
        <w:keepNext w:val="0"/>
        <w:spacing w:before="0" w:after="160" w:line="320" w:lineRule="auto"/>
        <w:jc w:val="both"/>
      </w:pPr>
      <w:r>
        <w:rPr>
          <w:rFonts w:ascii="Calibri" w:hAnsi="Calibri"/>
          <w:b w:val="0"/>
          <w:i w:val="0"/>
          <w:color w:val="0B2545"/>
          <w:sz w:val="22"/>
        </w:rPr>
        <w:t>The rest of this paper is written for a computer science audience. This section explains the same findings in everyday language.</w:t>
      </w:r>
    </w:p>
    <w:p>
      <w:pPr>
        <w:pStyle w:val="ListBullet"/>
        <w:spacing w:after="80" w:line="290" w:lineRule="auto"/>
        <w:ind w:left="540" w:hanging="279"/>
        <w:jc w:val="left"/>
      </w:pPr>
      <w:r>
        <w:rPr>
          <w:rFonts w:ascii="Calibri" w:hAnsi="Calibri"/>
          <w:b w:val="0"/>
          <w:i w:val="0"/>
          <w:color w:val="0B2545"/>
          <w:sz w:val="22"/>
        </w:rPr>
        <w:t>The "speed rules" taught in computer science classes turned out to be accurate: searching and deleting got slower in exactly the pattern theory predicts as the data grew, and hash-table lookups stayed fast.</w:t>
      </w:r>
    </w:p>
    <w:p>
      <w:pPr>
        <w:pStyle w:val="ListBullet"/>
        <w:spacing w:after="80" w:line="290" w:lineRule="auto"/>
        <w:ind w:left="540" w:hanging="279"/>
        <w:jc w:val="left"/>
      </w:pPr>
      <w:r>
        <w:rPr>
          <w:rFonts w:ascii="Calibri" w:hAnsi="Calibri"/>
          <w:b w:val="0"/>
          <w:i w:val="0"/>
          <w:color w:val="0B2545"/>
          <w:sz w:val="22"/>
        </w:rPr>
        <w:t>C++ was consistently faster than Python, but not by one fixed number -- how much faster depended heavily on the specific task.</w:t>
      </w:r>
    </w:p>
    <w:p>
      <w:pPr>
        <w:pStyle w:val="ListBullet"/>
        <w:spacing w:after="80" w:line="290" w:lineRule="auto"/>
        <w:ind w:left="540" w:hanging="279"/>
        <w:jc w:val="left"/>
      </w:pPr>
      <w:r>
        <w:rPr>
          <w:rFonts w:ascii="Calibri" w:hAnsi="Calibri"/>
          <w:b w:val="0"/>
          <w:i w:val="0"/>
          <w:color w:val="0B2545"/>
          <w:sz w:val="22"/>
        </w:rPr>
        <w:t>Java held a surprise: on 4 of the 12 tasks tested, it was actually slower than Python, and its speed bounced around from run to run far more than Python's or C++'s did.</w:t>
      </w:r>
    </w:p>
    <w:p>
      <w:pPr>
        <w:pStyle w:val="ListBullet"/>
        <w:spacing w:after="80" w:line="290" w:lineRule="auto"/>
        <w:ind w:left="540" w:hanging="279"/>
        <w:jc w:val="left"/>
      </w:pPr>
      <w:r>
        <w:rPr>
          <w:rFonts w:ascii="Calibri" w:hAnsi="Calibri"/>
          <w:b w:val="0"/>
          <w:i w:val="0"/>
          <w:color w:val="0B2545"/>
          <w:sz w:val="22"/>
        </w:rPr>
        <w:t>A few C++ operations finished faster than the computer's own stopwatch could reliably measure. Running each one thousands of times in a row and averaging the result solved this.</w:t>
      </w:r>
    </w:p>
    <w:p>
      <w:pPr>
        <w:pStyle w:val="ListBullet"/>
        <w:spacing w:after="80" w:line="290" w:lineRule="auto"/>
        <w:ind w:left="540" w:hanging="279"/>
        <w:jc w:val="left"/>
      </w:pPr>
      <w:r>
        <w:rPr>
          <w:rFonts w:ascii="Calibri" w:hAnsi="Calibri"/>
          <w:b w:val="0"/>
          <w:i w:val="0"/>
          <w:color w:val="0B2545"/>
          <w:sz w:val="22"/>
        </w:rP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ListBullet"/>
        <w:spacing w:after="80" w:line="290" w:lineRule="auto"/>
        <w:ind w:left="540" w:hanging="279"/>
        <w:jc w:val="left"/>
      </w:pPr>
      <w:r>
        <w:rPr>
          <w:rFonts w:ascii="Calibri" w:hAnsi="Calibri"/>
          <w:b w:val="0"/>
          <w:i w:val="0"/>
          <w:color w:val="0B2545"/>
          <w:sz w:val="22"/>
        </w:rP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ListBullet"/>
        <w:spacing w:after="80" w:line="290" w:lineRule="auto"/>
        <w:ind w:left="540" w:hanging="279"/>
        <w:jc w:val="left"/>
      </w:pPr>
      <w:r>
        <w:rPr>
          <w:rFonts w:ascii="Calibri" w:hAnsi="Calibri"/>
          <w:b w:val="0"/>
          <w:i w:val="0"/>
          <w:color w:val="0B2545"/>
          <w:sz w:val="22"/>
        </w:rPr>
        <w:t>One thing is still left for a follow-up study: taking more detailed processor-level measurements, which needs equipment beyond the two computers used here.</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ListBullet"/>
        <w:spacing w:after="80" w:line="290" w:lineRule="auto"/>
        <w:ind w:left="540" w:hanging="279"/>
        <w:jc w:val="left"/>
      </w:pPr>
      <w:r>
        <w:rPr>
          <w:rFonts w:ascii="Calibri" w:hAnsi="Calibri"/>
          <w:b w:val="0"/>
          <w:i w:val="0"/>
          <w:color w:val="0B2545"/>
          <w:sz w:val="22"/>
        </w:rPr>
        <w:t>A calibrated-batching supplement that resolves the two resolution-limited C++ groups into stable, low-dispersion estimates, converting an open measurement caveat into a quantified one.</w:t>
      </w:r>
    </w:p>
    <w:p>
      <w:pPr>
        <w:pStyle w:val="ListBullet"/>
        <w:spacing w:after="80" w:line="290" w:lineRule="auto"/>
        <w:ind w:left="540" w:hanging="279"/>
        <w:jc w:val="left"/>
      </w:pPr>
      <w:r>
        <w:rPr>
          <w:rFonts w:ascii="Calibri" w:hAnsi="Calibri"/>
          <w:b w:val="0"/>
          <w:i w:val="0"/>
          <w:color w:val="0B2545"/>
          <w:sz w:val="22"/>
        </w:rPr>
        <w:t>Peak-memory, coarse hardware-counter and second-input-distribution supplements that close four further items from the original future-work list within a single Mac's reach.</w:t>
      </w:r>
    </w:p>
    <w:p>
      <w:pPr>
        <w:pStyle w:val="ListBullet"/>
        <w:spacing w:after="80" w:line="290" w:lineRule="auto"/>
        <w:ind w:left="540" w:hanging="279"/>
        <w:jc w:val="left"/>
      </w:pPr>
      <w:r>
        <w:rPr>
          <w:rFonts w:ascii="Calibri" w:hAnsi="Calibri"/>
          <w:b w:val="0"/>
          <w:i w:val="0"/>
          <w:color w:val="0B2545"/>
          <w:sz w:val="22"/>
        </w:rP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 Section 4.7 reports a calibrated-batching supplement that resolves this ambiguity for the affected groups.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2"/>
        <w:keepNext/>
      </w:pPr>
      <w:r>
        <w:t>4.7 Measurement-resolution supplement: calibrated batching</w:t>
      </w:r>
    </w:p>
    <w:p>
      <w:pPr>
        <w:keepNext w:val="0"/>
        <w:spacing w:before="0" w:after="160" w:line="320" w:lineRule="auto"/>
        <w:jc w:val="both"/>
      </w:pPr>
      <w:r>
        <w:rPr>
          <w:rFonts w:ascii="Calibri" w:hAnsi="Calibri"/>
          <w:b w:val="0"/>
          <w:i w:val="0"/>
          <w:color w:val="0B2545"/>
          <w:sz w:val="22"/>
        </w:rPr>
        <w:t>Section 3.4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therefore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 verified programmatically before the comparison was computed.</w:t>
      </w:r>
    </w:p>
    <w:p>
      <w:pPr>
        <w:keepNext/>
        <w:spacing w:before="80" w:after="80" w:line="320" w:lineRule="auto"/>
      </w:pPr>
      <w:r>
        <w:rPr>
          <w:rFonts w:ascii="Calibri" w:hAnsi="Calibri"/>
          <w:b/>
          <w:i w:val="0"/>
          <w:color w:val="1F4D78"/>
          <w:sz w:val="19"/>
        </w:rPr>
        <w:t>Table 6. Single-shot versus calibrated-batch median per-operation time.</w:t>
      </w:r>
    </w:p>
    <w:tbl>
      <w:tblPr>
        <w:tblStyle w:val="TableGrid"/>
        <w:tblW w:type="dxa" w:w="8760"/>
        <w:jc w:val="left"/>
        <w:tblLayout w:type="fixed"/>
        <w:tblLook w:firstColumn="1" w:firstRow="1" w:lastColumn="0" w:lastRow="0" w:noHBand="0" w:noVBand="1" w:val="04A0"/>
        <w:tblInd w:w="120" w:type="dxa"/>
      </w:tblPr>
      <w:tblGrid>
        <w:gridCol w:w="1300"/>
        <w:gridCol w:w="1500"/>
        <w:gridCol w:w="1200"/>
        <w:gridCol w:w="1700"/>
        <w:gridCol w:w="1700"/>
        <w:gridCol w:w="1360"/>
      </w:tblGrid>
      <w:tr>
        <w:trPr>
          <w:tblHeader w:val="true"/>
        </w:trPr>
        <w:tc>
          <w:tcPr>
            <w:tcW w:type="dxa" w:w="13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200"/>
            <w:shd w:fill="2E74B5"/>
            <w:vAlign w:val="center"/>
            <w:tcMar>
              <w:top w:w="80" w:type="dxa"/>
              <w:start w:w="120" w:type="dxa"/>
              <w:bottom w:w="80" w:type="dxa"/>
              <w:end w:w="120" w:type="dxa"/>
            </w:tcMar>
          </w:tcPr>
          <w:p>
            <w:pPr>
              <w:spacing w:after="0"/>
              <w:jc w:val="center"/>
            </w:pPr>
            <w:r>
              <w:rPr>
                <w:rFonts w:ascii="Calibri" w:hAnsi="Calibri"/>
                <w:b/>
                <w:i w:val="0"/>
                <w:color w:val="FFFFFF"/>
                <w:sz w:val="16"/>
              </w:rPr>
              <w:t>n</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Single-shot</w:t>
            </w:r>
          </w:p>
        </w:tc>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w:t>
            </w:r>
          </w:p>
        </w:tc>
        <w:tc>
          <w:tcPr>
            <w:tcW w:type="dxa" w:w="1360"/>
            <w:shd w:fill="2E74B5"/>
            <w:vAlign w:val="center"/>
            <w:tcMar>
              <w:top w:w="80" w:type="dxa"/>
              <w:start w:w="120" w:type="dxa"/>
              <w:bottom w:w="80" w:type="dxa"/>
              <w:end w:w="120" w:type="dxa"/>
            </w:tcMar>
          </w:tcPr>
          <w:p>
            <w:pPr>
              <w:spacing w:after="0"/>
              <w:jc w:val="center"/>
            </w:pPr>
            <w:r>
              <w:rPr>
                <w:rFonts w:ascii="Calibri" w:hAnsi="Calibri"/>
                <w:b/>
                <w:i w:val="0"/>
                <w:color w:val="FFFFFF"/>
                <w:sz w:val="16"/>
              </w:rPr>
              <w:t>Calibrated CV</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42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47.0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190.5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417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377.5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958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937.0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0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16.0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2.9%</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166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133.5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w:t>
            </w:r>
          </w:p>
        </w:tc>
      </w:tr>
      <w:tr>
        <w:tc>
          <w:tcPr>
            <w:tcW w:type="dxa" w:w="13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vAlign w:val="center"/>
            <w:tcMar>
              <w:top w:w="80" w:type="dxa"/>
              <w:start w:w="120" w:type="dxa"/>
              <w:bottom w:w="80" w:type="dxa"/>
              <w:end w:w="120" w:type="dxa"/>
            </w:tcMar>
          </w:tcPr>
          <w:p>
            <w:pPr>
              <w:spacing w:after="0"/>
              <w:jc w:val="center"/>
            </w:pPr>
            <w:r>
              <w:rPr>
                <w:rFonts w:ascii="Calibri" w:hAnsi="Calibri"/>
                <w:b w:val="0"/>
                <w:i w:val="0"/>
                <w:color w:val="0B2545"/>
                <w:sz w:val="16"/>
              </w:rPr>
              <w:t>10,000</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333 ns</w:t>
            </w:r>
          </w:p>
        </w:tc>
        <w:tc>
          <w:tcPr>
            <w:tcW w:type="dxa" w:w="1700"/>
            <w:vAlign w:val="center"/>
            <w:tcMar>
              <w:top w:w="80" w:type="dxa"/>
              <w:start w:w="120" w:type="dxa"/>
              <w:bottom w:w="80" w:type="dxa"/>
              <w:end w:w="120" w:type="dxa"/>
            </w:tcMar>
          </w:tcPr>
          <w:p>
            <w:pPr>
              <w:spacing w:after="0"/>
              <w:jc w:val="center"/>
            </w:pPr>
            <w:r>
              <w:rPr>
                <w:rFonts w:ascii="Calibri" w:hAnsi="Calibri"/>
                <w:b w:val="0"/>
                <w:i w:val="0"/>
                <w:color w:val="0B2545"/>
                <w:sz w:val="16"/>
              </w:rPr>
              <w:t>265.5 ns</w:t>
            </w:r>
          </w:p>
        </w:tc>
        <w:tc>
          <w:tcPr>
            <w:tcW w:type="dxa" w:w="1360"/>
            <w:vAlign w:val="center"/>
            <w:tcMar>
              <w:top w:w="80" w:type="dxa"/>
              <w:start w:w="120" w:type="dxa"/>
              <w:bottom w:w="80" w:type="dxa"/>
              <w:end w:w="120" w:type="dxa"/>
            </w:tcMar>
          </w:tcPr>
          <w:p>
            <w:pPr>
              <w:spacing w:after="0"/>
              <w:jc w:val="center"/>
            </w:pPr>
            <w:r>
              <w:rPr>
                <w:rFonts w:ascii="Calibri" w:hAnsi="Calibri"/>
                <w:b w:val="0"/>
                <w:i w:val="0"/>
                <w:color w:val="0B2545"/>
                <w:sz w:val="16"/>
              </w:rPr>
              <w:t>1.1%</w:t>
            </w:r>
          </w:p>
        </w:tc>
      </w:tr>
      <w:tr>
        <w:tc>
          <w:tcPr>
            <w:tcW w:type="dxa" w:w="13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2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25,000</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708 ns</w:t>
            </w:r>
          </w:p>
        </w:tc>
        <w:tc>
          <w:tcPr>
            <w:tcW w:type="dxa" w:w="170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688.0 ns</w:t>
            </w:r>
          </w:p>
        </w:tc>
        <w:tc>
          <w:tcPr>
            <w:tcW w:type="dxa" w:w="136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w:t>
            </w:r>
          </w:p>
        </w:tc>
      </w:tr>
    </w:tbl>
    <w:p>
      <w:pPr>
        <w:spacing w:after="40"/>
      </w:pPr>
    </w:p>
    <w:p>
      <w:pPr>
        <w:keepNext w:val="0"/>
        <w:spacing w:before="0" w:after="160" w:line="320" w:lineRule="auto"/>
        <w:jc w:val="both"/>
      </w:pPr>
      <w:r>
        <w:rPr>
          <w:rFonts w:ascii="Calibri" w:hAnsi="Calibri"/>
          <w:b w:val="0"/>
          <w:i w:val="0"/>
          <w:color w:val="0B2545"/>
          <w:sz w:val="22"/>
        </w:rPr>
        <w:t>Calibrated batching resolved the ambiguity the primary design could not: the C++ hash-search median at n = 1,000, recorded as zero in the single-shot design, resolves to 16 ns under batching -- a real, non-zero cost, not literal zero-cost lookup. Dispersion across the eight (structure, operation, n) groups was far lower than the single-shot design's: median CV 1.4%, maximum 11.9% (the array-traversal group at n = 1,000, still the smallest absolute magnitude tested). Calibrated medians were consistently close to but somewhat below the original single-shot medians at every size (for example, array traversal at n = 25,000: 937 ns calibrated versus 958 ns single-shot), consistent with the single-shot design carrying a small, roughly constant per-call overhead that batching amortises away. This confirms the primary study's point estimates were directionally correct despite their high dispersion, and converts the resolution-limited caveat in Section 3.4 from an open concern into a quantified, resolved one.</w:t>
      </w:r>
    </w:p>
    <w:p>
      <w:pPr>
        <w:pStyle w:val="Heading2"/>
        <w:keepNext/>
      </w:pPr>
      <w:r>
        <w:t>4.8 Resource-usage and additional-distribution supplements</w:t>
      </w:r>
    </w:p>
    <w:p>
      <w:pPr>
        <w:keepNext w:val="0"/>
        <w:spacing w:before="0" w:after="160" w:line="320" w:lineRule="auto"/>
        <w:jc w:val="both"/>
      </w:pPr>
      <w:r>
        <w:rPr>
          <w:rFonts w:ascii="Calibri" w:hAnsi="Calibri"/>
          <w:b w:val="0"/>
          <w:i w:val="0"/>
          <w:color w:val="0B2545"/>
          <w:sz w:val="22"/>
        </w:rP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6.3. A three-run spot-check for one combination showed under 1.5% variation in memory, instructions and cycles, so a single measurement per (language, structure) is treated as representative.</w:t>
      </w:r>
    </w:p>
    <w:p>
      <w:pPr>
        <w:keepNext/>
        <w:spacing w:before="80" w:after="80" w:line="320" w:lineRule="auto"/>
      </w:pPr>
      <w:r>
        <w:rPr>
          <w:rFonts w:ascii="Calibri" w:hAnsi="Calibri"/>
          <w:b/>
          <w:i w:val="0"/>
          <w:color w:val="1F4D78"/>
          <w:sz w:val="19"/>
        </w:rPr>
        <w:t>Table 7. Peak memory and hardware counters at n = 25,000, whole-process.</w:t>
      </w:r>
    </w:p>
    <w:tbl>
      <w:tblPr>
        <w:tblStyle w:val="TableGrid"/>
        <w:tblW w:type="dxa" w:w="9360"/>
        <w:jc w:val="left"/>
        <w:tblLayout w:type="fixed"/>
        <w:tblLook w:firstColumn="1" w:firstRow="1" w:lastColumn="0" w:lastRow="0" w:noHBand="0" w:noVBand="1" w:val="04A0"/>
        <w:tblInd w:w="120" w:type="dxa"/>
      </w:tblPr>
      <w:tblGrid>
        <w:gridCol w:w="1550"/>
        <w:gridCol w:w="1550"/>
        <w:gridCol w:w="1550"/>
        <w:gridCol w:w="1550"/>
        <w:gridCol w:w="1550"/>
        <w:gridCol w:w="1610"/>
      </w:tblGrid>
      <w:tr>
        <w:trPr>
          <w:tblHeader w:val="true"/>
        </w:trPr>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Language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Peak memory</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Instructions</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Cycles</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IPC</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1.9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125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5.50</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799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467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1.71</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C++17</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2.8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220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44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5.05</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14.7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9927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1535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6.47</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47843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9063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5.28</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Python 3.13</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17.0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464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155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2.99</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34.3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2987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820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3.64</w:t>
            </w:r>
          </w:p>
        </w:tc>
      </w:tr>
      <w:tr>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35.9 MB</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3149 M</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1260 M</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2.50</w:t>
            </w:r>
          </w:p>
        </w:tc>
      </w:tr>
      <w:tr>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Java</w:t>
            </w:r>
          </w:p>
        </w:tc>
        <w:tc>
          <w:tcPr>
            <w:tcW w:type="dxa" w:w="155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48.3 MB</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1742 M</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622 M</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2.80</w:t>
            </w:r>
          </w:p>
        </w:tc>
      </w:tr>
    </w:tbl>
    <w:p>
      <w:pPr>
        <w:spacing w:after="40"/>
      </w:pPr>
    </w:p>
    <w:p>
      <w:pPr>
        <w:keepNext w:val="0"/>
        <w:spacing w:before="0" w:after="160" w:line="320" w:lineRule="auto"/>
        <w:jc w:val="both"/>
      </w:pPr>
      <w:r>
        <w:rPr>
          <w:rFonts w:ascii="Calibri" w:hAnsi="Calibri"/>
          <w:b w:val="0"/>
          <w:i w:val="0"/>
          <w:color w:val="0B2545"/>
          <w:sz w:val="22"/>
        </w:rP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5.2: C++ linked traversal's IPC (1.71) was far below array's (5.50) or hash's (5.05), consistent with pointer-chasing stalling the pipeline on memory latency rather than merely executing more instructions.</w:t>
      </w:r>
    </w:p>
    <w:p>
      <w:pPr>
        <w:keepNext w:val="0"/>
        <w:spacing w:before="0" w:after="160" w:line="320" w:lineRule="auto"/>
        <w:jc w:val="both"/>
      </w:pPr>
      <w:r>
        <w:rPr>
          <w:rFonts w:ascii="Calibri" w:hAnsi="Calibri"/>
          <w:b w:val="0"/>
          <w:i w:val="0"/>
          <w:color w:val="0B2545"/>
          <w:sz w:val="22"/>
        </w:rP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8), a pattern reproduced across three independent process invocations for the array case and therefore not attributable to single-run noise. This is not explained by the study's timing-boundary design, since dataset parsing is explicitly excluded from the timed region (Table 2); root-causing it, for example by checking allocator or page-fault behaviour under each build order, is left for future work. Java's distribution comparisons additionally inherit the high measurement dispersion already established for fast Java operations in Section 4.6 and are not reported here for that reason.</w:t>
      </w:r>
    </w:p>
    <w:p>
      <w:pPr>
        <w:keepNext/>
        <w:spacing w:before="80" w:after="80" w:line="320" w:lineRule="auto"/>
      </w:pPr>
      <w:r>
        <w:rPr>
          <w:rFonts w:ascii="Calibri" w:hAnsi="Calibri"/>
          <w:b/>
          <w:i w:val="0"/>
          <w:color w:val="1F4D78"/>
          <w:sz w:val="19"/>
        </w:rPr>
        <w:t>Table 8. C++ insertion time under the two input distributions at n = 25,000.</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Structure</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Shuffled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Sorted</w:t>
            </w:r>
          </w:p>
        </w:tc>
        <w:tc>
          <w:tcPr>
            <w:tcW w:type="dxa" w:w="2340"/>
            <w:shd w:fill="2E74B5"/>
            <w:vAlign w:val="center"/>
            <w:tcMar>
              <w:top w:w="80" w:type="dxa"/>
              <w:start w:w="120" w:type="dxa"/>
              <w:bottom w:w="80" w:type="dxa"/>
              <w:end w:w="120" w:type="dxa"/>
            </w:tcMar>
          </w:tcPr>
          <w:p>
            <w:pPr>
              <w:spacing w:after="0"/>
              <w:jc w:val="center"/>
            </w:pPr>
            <w:r>
              <w:rPr>
                <w:rFonts w:ascii="Calibri" w:hAnsi="Calibri"/>
                <w:b/>
                <w:i w:val="0"/>
                <w:color w:val="FFFFFF"/>
                <w:sz w:val="18"/>
              </w:rPr>
              <w:t>Ratio</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Array</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6562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2000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0.30x</w:t>
            </w:r>
          </w:p>
        </w:tc>
      </w:tr>
      <w:tr>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Linked</w:t>
            </w:r>
          </w:p>
        </w:tc>
        <w:tc>
          <w:tcPr>
            <w:tcW w:type="dxa" w:w="2340"/>
            <w:shd w:fill="F2F4F7"/>
            <w:vAlign w:val="center"/>
            <w:tcMar>
              <w:top w:w="80" w:type="dxa"/>
              <w:start w:w="120" w:type="dxa"/>
              <w:bottom w:w="80" w:type="dxa"/>
              <w:end w:w="120" w:type="dxa"/>
            </w:tcMar>
          </w:tcPr>
          <w:p>
            <w:pPr>
              <w:spacing w:after="0"/>
            </w:pPr>
            <w:r>
              <w:rPr>
                <w:rFonts w:ascii="Calibri" w:hAnsi="Calibri"/>
                <w:b w:val="0"/>
                <w:i w:val="0"/>
                <w:color w:val="0B2545"/>
                <w:sz w:val="18"/>
              </w:rPr>
              <w:t>215208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289520 ns</w:t>
            </w:r>
          </w:p>
        </w:tc>
        <w:tc>
          <w:tcPr>
            <w:tcW w:type="dxa" w:w="2340"/>
            <w:shd w:fill="F2F4F7"/>
            <w:vAlign w:val="center"/>
            <w:tcMar>
              <w:top w:w="80" w:type="dxa"/>
              <w:start w:w="120" w:type="dxa"/>
              <w:bottom w:w="80" w:type="dxa"/>
              <w:end w:w="120" w:type="dxa"/>
            </w:tcMar>
          </w:tcPr>
          <w:p>
            <w:pPr>
              <w:spacing w:after="0"/>
              <w:jc w:val="center"/>
            </w:pPr>
            <w:r>
              <w:rPr>
                <w:rFonts w:ascii="Calibri" w:hAnsi="Calibri"/>
                <w:b w:val="0"/>
                <w:i w:val="0"/>
                <w:color w:val="0B2545"/>
                <w:sz w:val="18"/>
              </w:rPr>
              <w:t>1.35x</w:t>
            </w:r>
          </w:p>
        </w:tc>
      </w:tr>
      <w:tr>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Hash</w:t>
            </w:r>
          </w:p>
        </w:tc>
        <w:tc>
          <w:tcPr>
            <w:tcW w:type="dxa" w:w="2340"/>
            <w:vAlign w:val="center"/>
            <w:tcMar>
              <w:top w:w="80" w:type="dxa"/>
              <w:start w:w="120" w:type="dxa"/>
              <w:bottom w:w="80" w:type="dxa"/>
              <w:end w:w="120" w:type="dxa"/>
            </w:tcMar>
          </w:tcPr>
          <w:p>
            <w:pPr>
              <w:spacing w:after="0"/>
            </w:pPr>
            <w:r>
              <w:rPr>
                <w:rFonts w:ascii="Calibri" w:hAnsi="Calibri"/>
                <w:b w:val="0"/>
                <w:i w:val="0"/>
                <w:color w:val="0B2545"/>
                <w:sz w:val="18"/>
              </w:rPr>
              <w:t>277938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367334 ns</w:t>
            </w:r>
          </w:p>
        </w:tc>
        <w:tc>
          <w:tcPr>
            <w:tcW w:type="dxa" w:w="2340"/>
            <w:vAlign w:val="center"/>
            <w:tcMar>
              <w:top w:w="80" w:type="dxa"/>
              <w:start w:w="120" w:type="dxa"/>
              <w:bottom w:w="80" w:type="dxa"/>
              <w:end w:w="120" w:type="dxa"/>
            </w:tcMar>
          </w:tcPr>
          <w:p>
            <w:pPr>
              <w:spacing w:after="0"/>
              <w:jc w:val="center"/>
            </w:pPr>
            <w:r>
              <w:rPr>
                <w:rFonts w:ascii="Calibri" w:hAnsi="Calibri"/>
                <w:b w:val="0"/>
                <w:i w:val="0"/>
                <w:color w:val="0B2545"/>
                <w:sz w:val="18"/>
              </w:rPr>
              <w:t>1.32x</w:t>
            </w:r>
          </w:p>
        </w:tc>
      </w:tr>
    </w:tbl>
    <w:p>
      <w:pPr>
        <w:spacing w:after="40"/>
      </w:pPr>
    </w:p>
    <w:p>
      <w:pPr>
        <w:pStyle w:val="Heading2"/>
        <w:keepNext/>
      </w:pPr>
      <w:r>
        <w:t>4.9 Independent second-system reproduction</w:t>
      </w:r>
    </w:p>
    <w:p>
      <w:pPr>
        <w:keepNext w:val="0"/>
        <w:spacing w:before="0" w:after="160" w:line="320" w:lineRule="auto"/>
        <w:jc w:val="both"/>
      </w:pPr>
      <w:r>
        <w:rPr>
          <w:rFonts w:ascii="Calibri" w:hAnsi="Calibri"/>
          <w:b w:val="0"/>
          <w:i w:val="0"/>
          <w:color w:val="0B2545"/>
          <w:sz w:val="22"/>
        </w:rP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keepNext/>
        <w:spacing w:before="80" w:after="80" w:line="320" w:lineRule="auto"/>
      </w:pPr>
      <w:r>
        <w:rPr>
          <w:rFonts w:ascii="Calibri" w:hAnsi="Calibri"/>
          <w:b/>
          <w:i w:val="0"/>
          <w:color w:val="1F4D78"/>
          <w:sz w:val="19"/>
        </w:rPr>
        <w:t>Table 9. Python-to-C++ ratio at n = 25,000 on both machines, and C++'s own Windows-to-Mac speed ratio.</w:t>
      </w:r>
    </w:p>
    <w:tbl>
      <w:tblPr>
        <w:tblStyle w:val="TableGrid"/>
        <w:tblW w:type="dxa" w:w="9360"/>
        <w:jc w:val="left"/>
        <w:tblLayout w:type="fixed"/>
        <w:tblLook w:firstColumn="1" w:firstRow="1" w:lastColumn="0" w:lastRow="0" w:noHBand="0" w:noVBand="1" w:val="04A0"/>
        <w:tblInd w:w="120" w:type="dxa"/>
      </w:tblPr>
      <w:tblGrid>
        <w:gridCol w:w="1500"/>
        <w:gridCol w:w="1500"/>
        <w:gridCol w:w="2120"/>
        <w:gridCol w:w="2120"/>
        <w:gridCol w:w="212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Mac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Windows ratio</w:t>
            </w:r>
          </w:p>
        </w:tc>
        <w:tc>
          <w:tcPr>
            <w:tcW w:type="dxa" w:w="2120"/>
            <w:shd w:fill="2E74B5"/>
            <w:vAlign w:val="center"/>
            <w:tcMar>
              <w:top w:w="80" w:type="dxa"/>
              <w:start w:w="120" w:type="dxa"/>
              <w:bottom w:w="80" w:type="dxa"/>
              <w:end w:w="120" w:type="dxa"/>
            </w:tcMar>
          </w:tcPr>
          <w:p>
            <w:pPr>
              <w:spacing w:after="0"/>
              <w:jc w:val="center"/>
            </w:pPr>
            <w:r>
              <w:rPr>
                <w:rFonts w:ascii="Calibri" w:hAnsi="Calibri"/>
                <w:b/>
                <w:i w:val="0"/>
                <w:color w:val="FFFFFF"/>
                <w:sz w:val="17"/>
              </w:rPr>
              <w:t>Win C++ / Mac 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16.83x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0.23x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26.76x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0.42x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35.37x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0.51x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12.14x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5.32x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5.28x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2.77x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10.78x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1.78x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1.73x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1.53x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2.50x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12.42x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1.69x</w:t>
            </w:r>
          </w:p>
        </w:tc>
        <w:tc>
          <w:tcPr>
            <w:tcW w:type="dxa" w:w="2120"/>
            <w:vAlign w:val="center"/>
            <w:tcMar>
              <w:top w:w="80" w:type="dxa"/>
              <w:start w:w="120" w:type="dxa"/>
              <w:bottom w:w="80" w:type="dxa"/>
              <w:end w:w="120" w:type="dxa"/>
            </w:tcMar>
          </w:tcPr>
          <w:p>
            <w:pPr>
              <w:spacing w:after="0"/>
              <w:jc w:val="center"/>
            </w:pPr>
            <w:r>
              <w:rPr>
                <w:rFonts w:ascii="Calibri" w:hAnsi="Calibri"/>
                <w:b w:val="0"/>
                <w:i w:val="0"/>
                <w:color w:val="0B2545"/>
                <w:sz w:val="17"/>
              </w:rPr>
              <w:t>1.40x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1.66x</w:t>
            </w:r>
          </w:p>
        </w:tc>
        <w:tc>
          <w:tcPr>
            <w:tcW w:type="dxa" w:w="212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1.85x</w:t>
            </w:r>
          </w:p>
        </w:tc>
      </w:tr>
    </w:tbl>
    <w:p>
      <w:pPr>
        <w:spacing w:after="40"/>
      </w:pPr>
    </w:p>
    <w:p>
      <w:pPr>
        <w:keepNext w:val="0"/>
        <w:spacing w:before="0" w:after="160" w:line="320" w:lineRule="auto"/>
        <w:jc w:val="both"/>
      </w:pPr>
      <w:r>
        <w:rPr>
          <w:rFonts w:ascii="Calibri" w:hAnsi="Calibri"/>
          <w:b w:val="0"/>
          <w:i w:val="0"/>
          <w:color w:val="0B2545"/>
          <w:sz w:val="22"/>
        </w:rP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3.4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4.7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and cannot be repeated without rebuilding it between batches; a revised benchmark should rebuild-and-batch these operations too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4.8; literal L1/L2/L3 cache hit and miss counts still require Linux perf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every processor, operating system, compiler or runtime configuration. Section 4.9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4.8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4.9) then confirmed the central Python/C++ comparison holds outside the original Mac, even as the exact magnitudes shifted.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This revision closed five of the six original future-work items: Section 4.6 added Java as a third language; Section 4.7 resolved the sub-microsecond timing caveat for read-only operations through calibrated batching; Section 4.8 added peak memory, two coarse hardware counters, a thermal/power snapshot and a second input-distribution family -- the last of which surfaced a genuine new finding, that C++ insertion, unlike search, deletion and traversal, responds substantially to input order; and Section 4.9 reproduced the study on an independently owned second machine, holding the qualitative direction in all twelve combinations while revealing that the magnitudes do not transfer cleanly across hardware and toolchain.</w:t>
      </w:r>
    </w:p>
    <w:p>
      <w:pPr>
        <w:spacing w:before="80" w:after="160" w:line="300" w:lineRule="auto"/>
        <w:ind w:left="216" w:right="216"/>
        <w:shd w:fill="E8EEF5"/>
      </w:pPr>
      <w:r>
        <w:rPr>
          <w:rFonts w:ascii="Calibri" w:hAnsi="Calibri"/>
          <w:b/>
          <w:i w:val="0"/>
          <w:color w:val="1F4D78"/>
          <w:sz w:val="22"/>
        </w:rPr>
        <w:t xml:space="preserve">Future scope: </w:t>
      </w:r>
      <w:r>
        <w:rPr>
          <w:rFonts w:ascii="Calibri" w:hAnsi="Calibri"/>
          <w:b w:val="0"/>
          <w:i w:val="0"/>
          <w:color w:val="0B2545"/>
          <w:sz w:val="22"/>
        </w:rPr>
        <w:t>Two extensions define the next study rather than this one's shortfall: batching the mutating insert and delete operations to explain the input-order sensitivity Section 4.8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the supplementary Java run (Section 4.6) adds 120 further records with SHA-256 digest a925f8e56720fb234324b4bed00328c1643feb8e741eb44e9f7c1cc3ec705ea2; the calibrated-batching supplement (Section 4.7) adds 80 further records with SHA-256 digest 243ff2cd1301c90169059664a4ded1584e060dc7aaa00e1ad497304d2a1e92f9; the resource-usage supplement (Section 4.8) adds 36 process-level records with SHA-256 digest 3d784871cf9e68e5440b0b06f71828fe4fb25f1a8ccf674e7aff00dde2bb0a4e; the second-distribution supplement (Section 4.8) adds 360 further records with SHA-256 digest 8082b52d4b6b90ee8ce47d1c3169e869a89494cf79181d68f68e72ccb273d5dc; and the independent Windows reproduction (Section 4.9) adds 240 further records with SHA-256 digest bb8e7df67be539ff812c8175bfe77946d6ec3d069ac9757fa883be7b4596368e.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and the calibration, resource-usage, second-distribution and independent-reproduction supplements added on 26 August 2026. The independent Windows reproduction (Section 4.9) was executed by the second author on his own machine, not by the AI assistant. All numerical claims in the manuscript were generated programmatically from the preserved raw CSV; missing measurements were not fabricated. The named authors have independently reviewed the code, results, citations and wording, and approved authorship contributions; this disclosure should still be adapted to the selected journal's specific policy at the time of submission.</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Calibration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results/raw/cpp_calibrated_combined.csv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Calibration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(run_calibrated)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Resource-usage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results/raw/resource_usage.csv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Thermal/power snapshot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results/raw/thermal_snapshot.txt</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results/raw/sorted_combined.csv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Second-distribution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scripts/generate_datasets_sorted.py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Windows reproduction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results/raw/windows_combined.csv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Windows reproduction (environment)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results/raw/windows_environment.json</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