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measurement records. At n = 25,000, median Python runtimes were 1.86-91.68 times the corresponding C++ medians across the twelve structure-operation combinations; the upper end reflects a submicrosecond, resolution-limited C++ median. Batched search and deletion exhibited empirical scaling exponents near 1.85-2.00, since collection size and operation count both grew with n; hash workloads were closer to linear. All implementations produced identical search-hit counts and post-deletion checksums, including supplementary checks with a singly-linked std::forward_list and a third language, Java; both reproduced the same pattern. Java was slower than Python on four of the twelve combinations, and its measurement dispersion was far higher than the primary design's (median CV 38.6% versus 4.0%), so only the low-dispersion combinations (1.49x-1.64x) support a precise ratio. A separate Windows reproduction confirmed C++ was faster than Python throughout, though magnitudes varied by operation. The findings support teaching Big-O together with implementation-aware measurement, while the small two-machine sample, absence of cache-miss counters, and submicrosecond C++ measurements keep the work a pilot rather than a final general-purpose benchmark.</w:t>
      </w:r>
    </w:p>
    <w:p>
      <w:pPr>
        <w:pStyle w:val="04Keywords"/>
      </w:pPr>
      <w:r>
        <w:t>Keywords—data structures; Big-O; empirical algorithmics; Python; C++; Java; microbenchmarking; reproducibility; construct validity</w:t>
      </w:r>
    </w:p>
    <w:p>
      <w:pPr>
        <w:pStyle w:val="Heading5"/>
      </w:pPr>
      <w:r>
        <w:t>Plain-Language Summary</w:t>
      </w:r>
    </w:p>
    <w:p>
      <w:pPr>
        <w:pStyle w:val="BodyText"/>
      </w:pPr>
      <w:r>
        <w:t>The rest of this paper is written for a computer science audience. This section explains the same findings in everyday language.</w:t>
      </w:r>
    </w:p>
    <w:p>
      <w:pPr>
        <w:pStyle w:val="11BulletList"/>
      </w:pPr>
      <w:r>
        <w:t>The "speed rules" taught in computer science classes turned out to be accurate: searching and deleting got slower in exactly the pattern theory predicts as the data grew, and hash-table lookups stayed fast.</w:t>
      </w:r>
    </w:p>
    <w:p>
      <w:pPr>
        <w:pStyle w:val="11BulletList"/>
      </w:pPr>
      <w:r>
        <w:t>C++ was consistently faster than Python, but not by one fixed number -- how much faster depended heavily on the specific task.</w:t>
      </w:r>
    </w:p>
    <w:p>
      <w:pPr>
        <w:pStyle w:val="11BulletList"/>
      </w:pPr>
      <w:r>
        <w:t>Java held a surprise: on 4 of the 12 tasks tested, it was actually slower than Python, and its speed bounced around from run to run far more than Python's or C++'s did.</w:t>
      </w:r>
    </w:p>
    <w:p>
      <w:pPr>
        <w:pStyle w:val="11BulletList"/>
      </w:pPr>
      <w:r>
        <w:t>A few C++ operations finished faster than the computer's own stopwatch could reliably measure. Running each one thousands of times in a row and averaging the result solved this.</w:t>
      </w:r>
    </w:p>
    <w:p>
      <w:pPr>
        <w:pStyle w:val="11BulletList"/>
      </w:pPr>
      <w: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11BulletList"/>
      </w:pPr>
      <w: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11BulletList"/>
      </w:pPr>
      <w:r>
        <w:t>One thing is still left for a follow-up study: taking more detailed processor-level measurements, which needs equipment beyond the two computers used here.</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further items from the original future-work list within a single Mac's reach.</w:t>
      </w:r>
    </w:p>
    <w:p>
      <w:pPr>
        <w:pStyle w:val="11BulletList"/>
      </w:pPr>
      <w: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VIII),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2"/>
      </w:pPr>
      <w:r>
        <w:t>Independent Second-System Reproduction</w:t>
      </w:r>
    </w:p>
    <w:p>
      <w:pPr>
        <w:pStyle w:val="BodyText"/>
      </w:pPr>
      <w: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sectPr>
          <w:type w:val="continuous"/>
          <w:pgSz w:w="12240" w:h="15840" w:code="1"/>
          <w:pgMar w:top="1080" w:right="907" w:bottom="1440" w:left="907" w:header="720" w:footer="720" w:gutter="0"/>
          <w:cols w:num="2" w:space="360"/>
          <w:docGrid w:linePitch="360"/>
        </w:sectPr>
      </w:pPr>
    </w:p>
    <w:p>
      <w:pPr>
        <w:pStyle w:val="14TableHead"/>
      </w:pPr>
      <w:r>
        <w:t>Python-to-C++ ratio at n = 25,000 on both machines, and C++'s own Windows-to-Mac speed ratio.</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872"/>
        <w:gridCol w:w="1872"/>
        <w:gridCol w:w="2160"/>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872"/>
          </w:tcPr>
          <w:p>
            <w:pPr>
              <w:pStyle w:val="tablecolhead"/>
              <w:jc w:val="center"/>
            </w:pPr>
            <w:r/>
            <w:r>
              <w:t>Mac ratio</w:t>
            </w:r>
          </w:p>
        </w:tc>
        <w:tc>
          <w:tcPr>
            <w:tcW w:type="dxa" w:w="1872"/>
          </w:tcPr>
          <w:p>
            <w:pPr>
              <w:pStyle w:val="tablecolhead"/>
              <w:jc w:val="center"/>
            </w:pPr>
            <w:r/>
            <w:r>
              <w:t>Windows ratio</w:t>
            </w:r>
          </w:p>
        </w:tc>
        <w:tc>
          <w:tcPr>
            <w:tcW w:type="dxa" w:w="2160"/>
          </w:tcPr>
          <w:p>
            <w:pPr>
              <w:pStyle w:val="tablecolhead"/>
              <w:jc w:val="center"/>
            </w:pPr>
            <w:r/>
            <w:r>
              <w:t>Win C++ / Mac C++</w:t>
            </w:r>
          </w:p>
        </w:tc>
      </w:tr>
      <w:tr>
        <w:tc>
          <w:tcPr>
            <w:tcW w:type="dxa" w:w="1296"/>
          </w:tcPr>
          <w:p>
            <w:pPr>
              <w:pStyle w:val="tablecopy"/>
            </w:pPr>
            <w:r/>
            <w:r>
              <w:t>Array</w:t>
            </w:r>
          </w:p>
        </w:tc>
        <w:tc>
          <w:tcPr>
            <w:tcW w:type="dxa" w:w="1440"/>
          </w:tcPr>
          <w:p>
            <w:pPr>
              <w:pStyle w:val="tablecopy"/>
              <w:jc w:val="center"/>
            </w:pPr>
            <w:r/>
            <w:r>
              <w:t>Insert</w:t>
            </w:r>
          </w:p>
        </w:tc>
        <w:tc>
          <w:tcPr>
            <w:tcW w:type="dxa" w:w="1872"/>
          </w:tcPr>
          <w:p>
            <w:pPr>
              <w:pStyle w:val="tablecopy"/>
              <w:jc w:val="center"/>
            </w:pPr>
            <w:r/>
            <w:r>
              <w:t>4.76x</w:t>
            </w:r>
          </w:p>
        </w:tc>
        <w:tc>
          <w:tcPr>
            <w:tcW w:type="dxa" w:w="1872"/>
          </w:tcPr>
          <w:p>
            <w:pPr>
              <w:pStyle w:val="tablecopy"/>
              <w:jc w:val="center"/>
            </w:pPr>
            <w:r/>
            <w:r>
              <w:t>16.83x</w:t>
            </w:r>
          </w:p>
        </w:tc>
        <w:tc>
          <w:tcPr>
            <w:tcW w:type="dxa" w:w="2160"/>
          </w:tcPr>
          <w:p>
            <w:pPr>
              <w:pStyle w:val="tablecopy"/>
              <w:jc w:val="center"/>
            </w:pPr>
            <w:r/>
            <w:r>
              <w:t>0.23x</w:t>
            </w:r>
          </w:p>
        </w:tc>
      </w:tr>
      <w:tr>
        <w:tc>
          <w:tcPr>
            <w:tcW w:type="dxa" w:w="1296"/>
          </w:tcPr>
          <w:p>
            <w:pPr>
              <w:pStyle w:val="tablecopy"/>
            </w:pPr>
            <w:r/>
            <w:r>
              <w:t>Array</w:t>
            </w:r>
          </w:p>
        </w:tc>
        <w:tc>
          <w:tcPr>
            <w:tcW w:type="dxa" w:w="1440"/>
          </w:tcPr>
          <w:p>
            <w:pPr>
              <w:pStyle w:val="tablecopy"/>
              <w:jc w:val="center"/>
            </w:pPr>
            <w:r/>
            <w:r>
              <w:t>Search</w:t>
            </w:r>
          </w:p>
        </w:tc>
        <w:tc>
          <w:tcPr>
            <w:tcW w:type="dxa" w:w="1872"/>
          </w:tcPr>
          <w:p>
            <w:pPr>
              <w:pStyle w:val="tablecopy"/>
              <w:jc w:val="center"/>
            </w:pPr>
            <w:r/>
            <w:r>
              <w:t>11.50x</w:t>
            </w:r>
          </w:p>
        </w:tc>
        <w:tc>
          <w:tcPr>
            <w:tcW w:type="dxa" w:w="1872"/>
          </w:tcPr>
          <w:p>
            <w:pPr>
              <w:pStyle w:val="tablecopy"/>
              <w:jc w:val="center"/>
            </w:pPr>
            <w:r/>
            <w:r>
              <w:t>26.76x</w:t>
            </w:r>
          </w:p>
        </w:tc>
        <w:tc>
          <w:tcPr>
            <w:tcW w:type="dxa" w:w="2160"/>
          </w:tcPr>
          <w:p>
            <w:pPr>
              <w:pStyle w:val="tablecopy"/>
              <w:jc w:val="center"/>
            </w:pPr>
            <w:r/>
            <w:r>
              <w:t>0.42x</w:t>
            </w:r>
          </w:p>
        </w:tc>
      </w:tr>
      <w:tr>
        <w:tc>
          <w:tcPr>
            <w:tcW w:type="dxa" w:w="1296"/>
          </w:tcPr>
          <w:p>
            <w:pPr>
              <w:pStyle w:val="tablecopy"/>
            </w:pPr>
            <w:r/>
            <w:r>
              <w:t>Array</w:t>
            </w:r>
          </w:p>
        </w:tc>
        <w:tc>
          <w:tcPr>
            <w:tcW w:type="dxa" w:w="1440"/>
          </w:tcPr>
          <w:p>
            <w:pPr>
              <w:pStyle w:val="tablecopy"/>
              <w:jc w:val="center"/>
            </w:pPr>
            <w:r/>
            <w:r>
              <w:t>Delete</w:t>
            </w:r>
          </w:p>
        </w:tc>
        <w:tc>
          <w:tcPr>
            <w:tcW w:type="dxa" w:w="1872"/>
          </w:tcPr>
          <w:p>
            <w:pPr>
              <w:pStyle w:val="tablecopy"/>
              <w:jc w:val="center"/>
            </w:pPr>
            <w:r/>
            <w:r>
              <w:t>15.30x</w:t>
            </w:r>
          </w:p>
        </w:tc>
        <w:tc>
          <w:tcPr>
            <w:tcW w:type="dxa" w:w="1872"/>
          </w:tcPr>
          <w:p>
            <w:pPr>
              <w:pStyle w:val="tablecopy"/>
              <w:jc w:val="center"/>
            </w:pPr>
            <w:r/>
            <w:r>
              <w:t>35.37x</w:t>
            </w:r>
          </w:p>
        </w:tc>
        <w:tc>
          <w:tcPr>
            <w:tcW w:type="dxa" w:w="2160"/>
          </w:tcPr>
          <w:p>
            <w:pPr>
              <w:pStyle w:val="tablecopy"/>
              <w:jc w:val="center"/>
            </w:pPr>
            <w:r/>
            <w:r>
              <w:t>0.51x</w:t>
            </w:r>
          </w:p>
        </w:tc>
      </w:tr>
      <w:tr>
        <w:tc>
          <w:tcPr>
            <w:tcW w:type="dxa" w:w="1296"/>
          </w:tcPr>
          <w:p>
            <w:pPr>
              <w:pStyle w:val="tablecopy"/>
            </w:pPr>
            <w:r/>
            <w:r>
              <w:t>Array</w:t>
            </w:r>
          </w:p>
        </w:tc>
        <w:tc>
          <w:tcPr>
            <w:tcW w:type="dxa" w:w="1440"/>
          </w:tcPr>
          <w:p>
            <w:pPr>
              <w:pStyle w:val="tablecopy"/>
              <w:jc w:val="center"/>
            </w:pPr>
            <w:r/>
            <w:r>
              <w:t>Traverse</w:t>
            </w:r>
          </w:p>
        </w:tc>
        <w:tc>
          <w:tcPr>
            <w:tcW w:type="dxa" w:w="1872"/>
          </w:tcPr>
          <w:p>
            <w:pPr>
              <w:pStyle w:val="tablecopy"/>
              <w:jc w:val="center"/>
            </w:pPr>
            <w:r/>
            <w:r>
              <w:t>91.68x</w:t>
            </w:r>
          </w:p>
        </w:tc>
        <w:tc>
          <w:tcPr>
            <w:tcW w:type="dxa" w:w="1872"/>
          </w:tcPr>
          <w:p>
            <w:pPr>
              <w:pStyle w:val="tablecopy"/>
              <w:jc w:val="center"/>
            </w:pPr>
            <w:r/>
            <w:r>
              <w:t>12.14x</w:t>
            </w:r>
          </w:p>
        </w:tc>
        <w:tc>
          <w:tcPr>
            <w:tcW w:type="dxa" w:w="2160"/>
          </w:tcPr>
          <w:p>
            <w:pPr>
              <w:pStyle w:val="tablecopy"/>
              <w:jc w:val="center"/>
            </w:pPr>
            <w:r/>
            <w:r>
              <w:t>5.32x</w:t>
            </w:r>
          </w:p>
        </w:tc>
      </w:tr>
      <w:tr>
        <w:tc>
          <w:tcPr>
            <w:tcW w:type="dxa" w:w="1296"/>
          </w:tcPr>
          <w:p>
            <w:pPr>
              <w:pStyle w:val="tablecopy"/>
            </w:pPr>
            <w:r/>
            <w:r>
              <w:t>Linked</w:t>
            </w:r>
          </w:p>
        </w:tc>
        <w:tc>
          <w:tcPr>
            <w:tcW w:type="dxa" w:w="1440"/>
          </w:tcPr>
          <w:p>
            <w:pPr>
              <w:pStyle w:val="tablecopy"/>
              <w:jc w:val="center"/>
            </w:pPr>
            <w:r/>
            <w:r>
              <w:t>Insert</w:t>
            </w:r>
          </w:p>
        </w:tc>
        <w:tc>
          <w:tcPr>
            <w:tcW w:type="dxa" w:w="1872"/>
          </w:tcPr>
          <w:p>
            <w:pPr>
              <w:pStyle w:val="tablecopy"/>
              <w:jc w:val="center"/>
            </w:pPr>
            <w:r/>
            <w:r>
              <w:t>15.69x</w:t>
            </w:r>
          </w:p>
        </w:tc>
        <w:tc>
          <w:tcPr>
            <w:tcW w:type="dxa" w:w="1872"/>
          </w:tcPr>
          <w:p>
            <w:pPr>
              <w:pStyle w:val="tablecopy"/>
              <w:jc w:val="center"/>
            </w:pPr>
            <w:r/>
            <w:r>
              <w:t>5.28x</w:t>
            </w:r>
          </w:p>
        </w:tc>
        <w:tc>
          <w:tcPr>
            <w:tcW w:type="dxa" w:w="2160"/>
          </w:tcPr>
          <w:p>
            <w:pPr>
              <w:pStyle w:val="tablecopy"/>
              <w:jc w:val="center"/>
            </w:pPr>
            <w:r/>
            <w:r>
              <w:t>2.77x</w:t>
            </w:r>
          </w:p>
        </w:tc>
      </w:tr>
      <w:tr>
        <w:tc>
          <w:tcPr>
            <w:tcW w:type="dxa" w:w="1296"/>
          </w:tcPr>
          <w:p>
            <w:pPr>
              <w:pStyle w:val="tablecopy"/>
            </w:pPr>
            <w:r/>
            <w:r>
              <w:t>Linked</w:t>
            </w:r>
          </w:p>
        </w:tc>
        <w:tc>
          <w:tcPr>
            <w:tcW w:type="dxa" w:w="1440"/>
          </w:tcPr>
          <w:p>
            <w:pPr>
              <w:pStyle w:val="tablecopy"/>
              <w:jc w:val="center"/>
            </w:pPr>
            <w:r/>
            <w:r>
              <w:t>Search</w:t>
            </w:r>
          </w:p>
        </w:tc>
        <w:tc>
          <w:tcPr>
            <w:tcW w:type="dxa" w:w="1872"/>
          </w:tcPr>
          <w:p>
            <w:pPr>
              <w:pStyle w:val="tablecopy"/>
              <w:jc w:val="center"/>
            </w:pPr>
            <w:r/>
            <w:r>
              <w:t>21.59x</w:t>
            </w:r>
          </w:p>
        </w:tc>
        <w:tc>
          <w:tcPr>
            <w:tcW w:type="dxa" w:w="1872"/>
          </w:tcPr>
          <w:p>
            <w:pPr>
              <w:pStyle w:val="tablecopy"/>
              <w:jc w:val="center"/>
            </w:pPr>
            <w:r/>
            <w:r>
              <w:t>10.78x</w:t>
            </w:r>
          </w:p>
        </w:tc>
        <w:tc>
          <w:tcPr>
            <w:tcW w:type="dxa" w:w="2160"/>
          </w:tcPr>
          <w:p>
            <w:pPr>
              <w:pStyle w:val="tablecopy"/>
              <w:jc w:val="center"/>
            </w:pPr>
            <w:r/>
            <w:r>
              <w:t>1.74x</w:t>
            </w:r>
          </w:p>
        </w:tc>
      </w:tr>
      <w:tr>
        <w:tc>
          <w:tcPr>
            <w:tcW w:type="dxa" w:w="1296"/>
          </w:tcPr>
          <w:p>
            <w:pPr>
              <w:pStyle w:val="tablecopy"/>
            </w:pPr>
            <w:r/>
            <w:r>
              <w:t>Linked</w:t>
            </w:r>
          </w:p>
        </w:tc>
        <w:tc>
          <w:tcPr>
            <w:tcW w:type="dxa" w:w="1440"/>
          </w:tcPr>
          <w:p>
            <w:pPr>
              <w:pStyle w:val="tablecopy"/>
              <w:jc w:val="center"/>
            </w:pPr>
            <w:r/>
            <w:r>
              <w:t>Delete</w:t>
            </w:r>
          </w:p>
        </w:tc>
        <w:tc>
          <w:tcPr>
            <w:tcW w:type="dxa" w:w="1872"/>
          </w:tcPr>
          <w:p>
            <w:pPr>
              <w:pStyle w:val="tablecopy"/>
              <w:jc w:val="center"/>
            </w:pPr>
            <w:r/>
            <w:r>
              <w:t>20.52x</w:t>
            </w:r>
          </w:p>
        </w:tc>
        <w:tc>
          <w:tcPr>
            <w:tcW w:type="dxa" w:w="1872"/>
          </w:tcPr>
          <w:p>
            <w:pPr>
              <w:pStyle w:val="tablecopy"/>
              <w:jc w:val="center"/>
            </w:pPr>
            <w:r/>
            <w:r>
              <w:t>11.50x</w:t>
            </w:r>
          </w:p>
        </w:tc>
        <w:tc>
          <w:tcPr>
            <w:tcW w:type="dxa" w:w="2160"/>
          </w:tcPr>
          <w:p>
            <w:pPr>
              <w:pStyle w:val="tablecopy"/>
              <w:jc w:val="center"/>
            </w:pPr>
            <w:r/>
            <w:r>
              <w:t>1.78x</w:t>
            </w:r>
          </w:p>
        </w:tc>
      </w:tr>
      <w:tr>
        <w:tc>
          <w:tcPr>
            <w:tcW w:type="dxa" w:w="1296"/>
          </w:tcPr>
          <w:p>
            <w:pPr>
              <w:pStyle w:val="tablecopy"/>
            </w:pPr>
            <w:r/>
            <w:r>
              <w:t>Linked</w:t>
            </w:r>
          </w:p>
        </w:tc>
        <w:tc>
          <w:tcPr>
            <w:tcW w:type="dxa" w:w="1440"/>
          </w:tcPr>
          <w:p>
            <w:pPr>
              <w:pStyle w:val="tablecopy"/>
              <w:jc w:val="center"/>
            </w:pPr>
            <w:r/>
            <w:r>
              <w:t>Traverse</w:t>
            </w:r>
          </w:p>
        </w:tc>
        <w:tc>
          <w:tcPr>
            <w:tcW w:type="dxa" w:w="1872"/>
          </w:tcPr>
          <w:p>
            <w:pPr>
              <w:pStyle w:val="tablecopy"/>
              <w:jc w:val="center"/>
            </w:pPr>
            <w:r/>
            <w:r>
              <w:t>24.91x</w:t>
            </w:r>
          </w:p>
        </w:tc>
        <w:tc>
          <w:tcPr>
            <w:tcW w:type="dxa" w:w="1872"/>
          </w:tcPr>
          <w:p>
            <w:pPr>
              <w:pStyle w:val="tablecopy"/>
              <w:jc w:val="center"/>
            </w:pPr>
            <w:r/>
            <w:r>
              <w:t>12.05x</w:t>
            </w:r>
          </w:p>
        </w:tc>
        <w:tc>
          <w:tcPr>
            <w:tcW w:type="dxa" w:w="2160"/>
          </w:tcPr>
          <w:p>
            <w:pPr>
              <w:pStyle w:val="tablecopy"/>
              <w:jc w:val="center"/>
            </w:pPr>
            <w:r/>
            <w:r>
              <w:t>1.73x</w:t>
            </w:r>
          </w:p>
        </w:tc>
      </w:tr>
      <w:tr>
        <w:tc>
          <w:tcPr>
            <w:tcW w:type="dxa" w:w="1296"/>
          </w:tcPr>
          <w:p>
            <w:pPr>
              <w:pStyle w:val="tablecopy"/>
            </w:pPr>
            <w:r/>
            <w:r>
              <w:t>Hash</w:t>
            </w:r>
          </w:p>
        </w:tc>
        <w:tc>
          <w:tcPr>
            <w:tcW w:type="dxa" w:w="1440"/>
          </w:tcPr>
          <w:p>
            <w:pPr>
              <w:pStyle w:val="tablecopy"/>
              <w:jc w:val="center"/>
            </w:pPr>
            <w:r/>
            <w:r>
              <w:t>Insert</w:t>
            </w:r>
          </w:p>
        </w:tc>
        <w:tc>
          <w:tcPr>
            <w:tcW w:type="dxa" w:w="1872"/>
          </w:tcPr>
          <w:p>
            <w:pPr>
              <w:pStyle w:val="tablecopy"/>
              <w:jc w:val="center"/>
            </w:pPr>
            <w:r/>
            <w:r>
              <w:t>2.23x</w:t>
            </w:r>
          </w:p>
        </w:tc>
        <w:tc>
          <w:tcPr>
            <w:tcW w:type="dxa" w:w="1872"/>
          </w:tcPr>
          <w:p>
            <w:pPr>
              <w:pStyle w:val="tablecopy"/>
              <w:jc w:val="center"/>
            </w:pPr>
            <w:r/>
            <w:r>
              <w:t>1.53x</w:t>
            </w:r>
          </w:p>
        </w:tc>
        <w:tc>
          <w:tcPr>
            <w:tcW w:type="dxa" w:w="2160"/>
          </w:tcPr>
          <w:p>
            <w:pPr>
              <w:pStyle w:val="tablecopy"/>
              <w:jc w:val="center"/>
            </w:pPr>
            <w:r/>
            <w:r>
              <w:t>2.50x</w:t>
            </w:r>
          </w:p>
        </w:tc>
      </w:tr>
      <w:tr>
        <w:tc>
          <w:tcPr>
            <w:tcW w:type="dxa" w:w="1296"/>
          </w:tcPr>
          <w:p>
            <w:pPr>
              <w:pStyle w:val="tablecopy"/>
            </w:pPr>
            <w:r/>
            <w:r>
              <w:t>Hash</w:t>
            </w:r>
          </w:p>
        </w:tc>
        <w:tc>
          <w:tcPr>
            <w:tcW w:type="dxa" w:w="1440"/>
          </w:tcPr>
          <w:p>
            <w:pPr>
              <w:pStyle w:val="tablecopy"/>
              <w:jc w:val="center"/>
            </w:pPr>
            <w:r/>
            <w:r>
              <w:t>Search</w:t>
            </w:r>
          </w:p>
        </w:tc>
        <w:tc>
          <w:tcPr>
            <w:tcW w:type="dxa" w:w="1872"/>
          </w:tcPr>
          <w:p>
            <w:pPr>
              <w:pStyle w:val="tablecopy"/>
              <w:jc w:val="center"/>
            </w:pPr>
            <w:r/>
            <w:r>
              <w:t>13.57x</w:t>
            </w:r>
          </w:p>
        </w:tc>
        <w:tc>
          <w:tcPr>
            <w:tcW w:type="dxa" w:w="1872"/>
          </w:tcPr>
          <w:p>
            <w:pPr>
              <w:pStyle w:val="tablecopy"/>
              <w:jc w:val="center"/>
            </w:pPr>
            <w:r/>
            <w:r>
              <w:t>12.42x</w:t>
            </w:r>
          </w:p>
        </w:tc>
        <w:tc>
          <w:tcPr>
            <w:tcW w:type="dxa" w:w="2160"/>
          </w:tcPr>
          <w:p>
            <w:pPr>
              <w:pStyle w:val="tablecopy"/>
              <w:jc w:val="center"/>
            </w:pPr>
            <w:r/>
            <w:r>
              <w:t>1.34x</w:t>
            </w:r>
          </w:p>
        </w:tc>
      </w:tr>
      <w:tr>
        <w:tc>
          <w:tcPr>
            <w:tcW w:type="dxa" w:w="1296"/>
          </w:tcPr>
          <w:p>
            <w:pPr>
              <w:pStyle w:val="tablecopy"/>
            </w:pPr>
            <w:r/>
            <w:r>
              <w:t>Hash</w:t>
            </w:r>
          </w:p>
        </w:tc>
        <w:tc>
          <w:tcPr>
            <w:tcW w:type="dxa" w:w="1440"/>
          </w:tcPr>
          <w:p>
            <w:pPr>
              <w:pStyle w:val="tablecopy"/>
              <w:jc w:val="center"/>
            </w:pPr>
            <w:r/>
            <w:r>
              <w:t>Delete</w:t>
            </w:r>
          </w:p>
        </w:tc>
        <w:tc>
          <w:tcPr>
            <w:tcW w:type="dxa" w:w="1872"/>
          </w:tcPr>
          <w:p>
            <w:pPr>
              <w:pStyle w:val="tablecopy"/>
              <w:jc w:val="center"/>
            </w:pPr>
            <w:r/>
            <w:r>
              <w:t>1.86x</w:t>
            </w:r>
          </w:p>
        </w:tc>
        <w:tc>
          <w:tcPr>
            <w:tcW w:type="dxa" w:w="1872"/>
          </w:tcPr>
          <w:p>
            <w:pPr>
              <w:pStyle w:val="tablecopy"/>
              <w:jc w:val="center"/>
            </w:pPr>
            <w:r/>
            <w:r>
              <w:t>1.69x</w:t>
            </w:r>
          </w:p>
        </w:tc>
        <w:tc>
          <w:tcPr>
            <w:tcW w:type="dxa" w:w="2160"/>
          </w:tcPr>
          <w:p>
            <w:pPr>
              <w:pStyle w:val="tablecopy"/>
              <w:jc w:val="center"/>
            </w:pPr>
            <w:r/>
            <w:r>
              <w:t>1.40x</w:t>
            </w:r>
          </w:p>
        </w:tc>
      </w:tr>
      <w:tr>
        <w:tc>
          <w:tcPr>
            <w:tcW w:type="dxa" w:w="1296"/>
          </w:tcPr>
          <w:p>
            <w:pPr>
              <w:pStyle w:val="tablecopy"/>
            </w:pPr>
            <w:r/>
            <w:r>
              <w:t>Hash</w:t>
            </w:r>
          </w:p>
        </w:tc>
        <w:tc>
          <w:tcPr>
            <w:tcW w:type="dxa" w:w="1440"/>
          </w:tcPr>
          <w:p>
            <w:pPr>
              <w:pStyle w:val="tablecopy"/>
              <w:jc w:val="center"/>
            </w:pPr>
            <w:r/>
            <w:r>
              <w:t>Traverse</w:t>
            </w:r>
          </w:p>
        </w:tc>
        <w:tc>
          <w:tcPr>
            <w:tcW w:type="dxa" w:w="1872"/>
          </w:tcPr>
          <w:p>
            <w:pPr>
              <w:pStyle w:val="tablecopy"/>
              <w:jc w:val="center"/>
            </w:pPr>
            <w:r/>
            <w:r>
              <w:t>3.68x</w:t>
            </w:r>
          </w:p>
        </w:tc>
        <w:tc>
          <w:tcPr>
            <w:tcW w:type="dxa" w:w="1872"/>
          </w:tcPr>
          <w:p>
            <w:pPr>
              <w:pStyle w:val="tablecopy"/>
              <w:jc w:val="center"/>
            </w:pPr>
            <w:r/>
            <w:r>
              <w:t>1.66x</w:t>
            </w:r>
          </w:p>
        </w:tc>
        <w:tc>
          <w:tcPr>
            <w:tcW w:type="dxa" w:w="2160"/>
          </w:tcPr>
          <w:p>
            <w:pPr>
              <w:pStyle w:val="tablecopy"/>
              <w:jc w:val="center"/>
            </w:pPr>
            <w:r/>
            <w:r>
              <w:t>1.85x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III-D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every processor, operating system, compiler or runtime configuration. Section IV-I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pPr>
      <w:r>
        <w:t>Conclusion and Future Work</w:t>
      </w:r>
    </w:p>
    <w:p>
      <w:pPr>
        <w:pStyle w:val="BodyText"/>
      </w:pPr>
      <w: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IV-I) then confirmed the central Python/C++ comparison holds outside the original Mac, even as the exact magnitudes shifted. The study also exposed a measurement weakness: several optimized C++ workloads were too short for reliable single-shot timing.</w:t>
      </w:r>
    </w:p>
    <w:p>
      <w:pPr>
        <w:pStyle w:val="BodyText"/>
      </w:pPr>
      <w:r>
        <w:t>This revision closed five of the six original future-work items: Section IV-F added Java as a third language; Section IV-G resolved the sub-microsecond timing caveat for read-only operations through calibrated batching; Section IV-H added peak memory, two coarse hardware counters, a thermal/power snapshot and a second input-distribution family -- the last of which surfaced a genuine new finding, that C++ insertion, unlike search, deletion and traversal, responds substantially to input order; and Section IV-I reproduced the study on an independently owned second machine, holding the qualitative direction in all twelve combinations while revealing that the magnitudes do not transfer cleanly across hardware and toolchain.</w:t>
      </w:r>
    </w:p>
    <w:p>
      <w:pPr>
        <w:pStyle w:val="BodyText"/>
      </w:pPr>
      <w:r>
        <w:rPr>
          <w:b/>
        </w:rPr>
        <w:t xml:space="preserve">Future scope: </w:t>
      </w:r>
      <w:r>
        <w:t>Two extensions define the next study rather than this one's shortfall: batching the mutating insert and delete operations to explain the input-order sensitivity Section IV-H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the second-distribution supplement adds 360 further records (SHA-256: 8082b52d4b6b90ee8ce47d1c3169e869a89494cf79181d68f68e72ccb273d5dc); and the independent Windows reproduction adds 240 further records (SHA-256: bb8e7df67be539ff812c8175bfe77946d6ec3d069ac9757fa883be7b4596368e).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including the independent Windows reproduction supplement (Section IV-I), which was executed by the second author on his own machine, not by the AI assistant. All numerical claims were generated programmatically from the preserved raw CSV; no measurements were fabricated. The named authors have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