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80" w:after="140" w:line="320" w:lineRule="auto"/>
      </w:pPr>
      <w:r>
        <w:rPr>
          <w:rFonts w:ascii="Calibri" w:hAnsi="Calibri"/>
          <w:b/>
          <w:i w:val="0"/>
          <w:color w:val="2E74B5"/>
          <w:sz w:val="19"/>
        </w:rPr>
        <w:t>ORIGINAL RESEARCH - PILOT STUDY</w:t>
      </w:r>
    </w:p>
    <w:p>
      <w:pPr>
        <w:keepNext w:val="0"/>
        <w:spacing w:before="0" w:after="180" w:line="259" w:lineRule="auto"/>
      </w:pPr>
      <w:r>
        <w:rPr>
          <w:rFonts w:ascii="Calibri" w:hAnsi="Calibri"/>
          <w:b/>
          <w:i w:val="0"/>
          <w:color w:val="0B2545"/>
          <w:sz w:val="44"/>
        </w:rPr>
        <w:t>Beyond Big-O: A Reproducible Apple-Silicon Pilot Study of Runtime Performance for Common Data Structures in Python and C++</w:t>
      </w:r>
    </w:p>
    <w:p>
      <w:pPr>
        <w:keepNext w:val="0"/>
        <w:spacing w:before="0" w:after="40" w:line="320" w:lineRule="auto"/>
      </w:pPr>
      <w:r>
        <w:rPr>
          <w:rFonts w:ascii="Calibri" w:hAnsi="Calibri"/>
          <w:b/>
          <w:i w:val="0"/>
          <w:color w:val="1F4D78"/>
          <w:sz w:val="24"/>
        </w:rPr>
        <w:t>Mahesh Patil and Student Research Team</w:t>
      </w:r>
    </w:p>
    <w:p>
      <w:pPr>
        <w:keepNext w:val="0"/>
        <w:spacing w:before="0" w:after="240" w:line="320" w:lineRule="auto"/>
      </w:pPr>
      <w:r>
        <w:rPr>
          <w:rFonts w:ascii="Calibri" w:hAnsi="Calibri"/>
          <w:b w:val="0"/>
          <w:i/>
          <w:color w:val="5E6B78"/>
          <w:sz w:val="20"/>
        </w:rPr>
        <w:t>Affiliation to be added before submission</w:t>
      </w:r>
    </w:p>
    <w:p>
      <w:pPr>
        <w:spacing w:before="80" w:after="160" w:line="300" w:lineRule="auto"/>
        <w:ind w:left="216" w:right="216"/>
        <w:shd w:fill="E8EEF5"/>
      </w:pPr>
      <w:r>
        <w:rPr>
          <w:rFonts w:ascii="Calibri" w:hAnsi="Calibri"/>
          <w:b/>
          <w:i w:val="0"/>
          <w:color w:val="1F4D78"/>
          <w:sz w:val="22"/>
        </w:rPr>
        <w:t xml:space="preserve">Draft status: </w:t>
      </w:r>
      <w:r>
        <w:rPr>
          <w:rFonts w:ascii="Calibri" w:hAnsi="Calibri"/>
          <w:b w:val="0"/>
          <w:i w:val="0"/>
          <w:color w:val="0B2545"/>
          <w:sz w:val="22"/>
        </w:rPr>
        <w:t>Prepared from measurements executed in Codex on 23 August 2026, with a supplementary construct-validity check (Section 4.5) added on 25 August 2026. This manuscript is intended for internal academic review and methodological refinement before journal submission.</w:t>
      </w:r>
    </w:p>
    <w:p>
      <w:pPr>
        <w:pStyle w:val="Heading1"/>
        <w:keepNext/>
      </w:pPr>
      <w:r>
        <w:t>Abstract</w:t>
      </w:r>
    </w:p>
    <w:p>
      <w:pPr>
        <w:keepNext w:val="0"/>
        <w:spacing w:before="0" w:after="160" w:line="320" w:lineRule="auto"/>
        <w:jc w:val="both"/>
      </w:pPr>
      <w:r>
        <w:rPr>
          <w:rFonts w:ascii="Calibri" w:hAnsi="Calibri"/>
          <w:b w:val="0"/>
          <w:i w:val="0"/>
          <w:color w:val="0B2545"/>
          <w:sz w:val="22"/>
        </w:rPr>
        <w:t>Asymptotic analysis predicts how algorithmic cost grows, but it does not capture language-runtime overhead, container representation, allocation behaviour or constants that influence observed execution time. This pilot study compared dynamic arrays, linked structures and hash tables under identical build, search, deletion and traversal workloads in Python 3.13 and optimized C++17. Experiments were executed on an Apple M2 MacBook Air with 8 GB memory and macOS 26.5.2. Four input sizes (1,000-25,000) were tested using three warm-ups and ten recorded repetitions, yielding 240 validated measurement records. At n = 25,000, median Python runtimes were 1.86-91.68 times the corresponding C++ medians across the twelve structure-operation combinations; the upper end of this range reflects a submicrosecond, resolution-limited C++ traversal median (Section 3.4) rather than a stable absolute figure. Batched search and deletion for sequential structures exhibited empirical scaling exponents of approximately 1.85-2.00 because both the collection size and the number of operations increased with n; hash workloads were closer to linear. All implementations produced identical search-hit counts and post-deletion checksums, including a supplementary re-run of the linked benchmark using a singly-linked std::forward_list to match the Python implementation's representation, which reproduced the same pattern of ratios (Section 4.5) rather than narrowing it. The findings support teaching Big-O together with implementation-aware measurement, while the single-machine scope, absence of Java and hardware-counter data, and submicrosecond C++ measurements make the work a pilot rather than a final general-purpose benchmark.</w:t>
      </w:r>
    </w:p>
    <w:p>
      <w:pPr>
        <w:spacing w:after="160" w:line="320" w:lineRule="auto"/>
        <w:jc w:val="left"/>
      </w:pPr>
      <w:r>
        <w:rPr>
          <w:rFonts w:ascii="Calibri" w:hAnsi="Calibri"/>
          <w:b/>
          <w:i w:val="0"/>
          <w:color w:val="0B2545"/>
          <w:sz w:val="22"/>
        </w:rPr>
        <w:t xml:space="preserve">Keywords: </w:t>
      </w:r>
      <w:r>
        <w:rPr>
          <w:rFonts w:ascii="Calibri" w:hAnsi="Calibri"/>
          <w:b w:val="0"/>
          <w:i w:val="0"/>
          <w:color w:val="0B2545"/>
          <w:sz w:val="22"/>
        </w:rPr>
        <w:t>data structures; Big-O; empirical algorithmics; Python; C++; microbenchmarking; reproducibility; construct validity</w:t>
      </w:r>
    </w:p>
    <w:p>
      <w:pPr>
        <w:pStyle w:val="Heading1"/>
        <w:keepNext/>
      </w:pPr>
      <w:r>
        <w:t>1. Introduction</w:t>
      </w:r>
    </w:p>
    <w:p>
      <w:pPr>
        <w:keepNext w:val="0"/>
        <w:spacing w:before="0" w:after="160" w:line="320" w:lineRule="auto"/>
        <w:jc w:val="both"/>
      </w:pPr>
      <w:r>
        <w:rPr>
          <w:rFonts w:ascii="Calibri" w:hAnsi="Calibri"/>
          <w:b w:val="0"/>
          <w:i w:val="0"/>
          <w:color w:val="0B2545"/>
          <w:sz w:val="22"/>
        </w:rP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keepNext w:val="0"/>
        <w:spacing w:before="0" w:after="160" w:line="320" w:lineRule="auto"/>
        <w:jc w:val="both"/>
      </w:pPr>
      <w:r>
        <w:rPr>
          <w:rFonts w:ascii="Calibri" w:hAnsi="Calibri"/>
          <w:b w:val="0"/>
          <w:i w:val="0"/>
          <w:color w:val="0B2545"/>
          <w:sz w:val="22"/>
        </w:rP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keepNext w:val="0"/>
        <w:spacing w:before="0" w:after="160" w:line="320" w:lineRule="auto"/>
        <w:jc w:val="both"/>
      </w:pPr>
      <w:r>
        <w:rPr>
          <w:rFonts w:ascii="Calibri" w:hAnsi="Calibri"/>
          <w:b w:val="0"/>
          <w:i w:val="0"/>
          <w:color w:val="0B2545"/>
          <w:sz w:val="22"/>
        </w:rP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keepNext/>
      </w:pPr>
      <w:r>
        <w:t>1.1 Research questions</w:t>
      </w:r>
    </w:p>
    <w:p>
      <w:pPr>
        <w:pStyle w:val="ListBullet"/>
        <w:spacing w:after="80" w:line="290" w:lineRule="auto"/>
        <w:ind w:left="540" w:hanging="279"/>
        <w:jc w:val="left"/>
      </w:pPr>
      <w:r>
        <w:rPr>
          <w:rFonts w:ascii="Calibri" w:hAnsi="Calibri"/>
          <w:b w:val="0"/>
          <w:i w:val="0"/>
          <w:color w:val="0B2545"/>
          <w:sz w:val="22"/>
        </w:rPr>
        <w:t>RQ1: How do language and data-structure implementation affect observed runtime for equivalent workloads?</w:t>
      </w:r>
    </w:p>
    <w:p>
      <w:pPr>
        <w:pStyle w:val="ListBullet"/>
        <w:spacing w:after="80" w:line="290" w:lineRule="auto"/>
        <w:ind w:left="540" w:hanging="279"/>
        <w:jc w:val="left"/>
      </w:pPr>
      <w:r>
        <w:rPr>
          <w:rFonts w:ascii="Calibri" w:hAnsi="Calibri"/>
          <w:b w:val="0"/>
          <w:i w:val="0"/>
          <w:color w:val="0B2545"/>
          <w:sz w:val="22"/>
        </w:rPr>
        <w:t>RQ2: Do measured scaling patterns agree with the workload-level complexity predicted from Big-O analysis?</w:t>
      </w:r>
    </w:p>
    <w:p>
      <w:pPr>
        <w:pStyle w:val="ListBullet"/>
        <w:spacing w:after="80" w:line="290" w:lineRule="auto"/>
        <w:ind w:left="540" w:hanging="279"/>
        <w:jc w:val="left"/>
      </w:pPr>
      <w:r>
        <w:rPr>
          <w:rFonts w:ascii="Calibri" w:hAnsi="Calibri"/>
          <w:b w:val="0"/>
          <w:i w:val="0"/>
          <w:color w:val="0B2545"/>
          <w:sz w:val="22"/>
        </w:rPr>
        <w:t>RQ3: Which methodological limitations must be addressed before extending the pilot into a journal-ready benchmark?</w:t>
      </w:r>
    </w:p>
    <w:p>
      <w:pPr>
        <w:pStyle w:val="Heading2"/>
        <w:keepNext/>
      </w:pPr>
      <w:r>
        <w:t>1.2 Contributions</w:t>
      </w:r>
    </w:p>
    <w:p>
      <w:pPr>
        <w:pStyle w:val="ListBullet"/>
        <w:spacing w:after="80" w:line="290" w:lineRule="auto"/>
        <w:ind w:left="540" w:hanging="279"/>
        <w:jc w:val="left"/>
      </w:pPr>
      <w:r>
        <w:rPr>
          <w:rFonts w:ascii="Calibri" w:hAnsi="Calibri"/>
          <w:b w:val="0"/>
          <w:i w:val="0"/>
          <w:color w:val="0B2545"/>
          <w:sz w:val="22"/>
        </w:rPr>
        <w:t>A common, deterministic dataset and workload definition shared by Python and C++ implementations.</w:t>
      </w:r>
    </w:p>
    <w:p>
      <w:pPr>
        <w:pStyle w:val="ListBullet"/>
        <w:spacing w:after="80" w:line="290" w:lineRule="auto"/>
        <w:ind w:left="540" w:hanging="279"/>
        <w:jc w:val="left"/>
      </w:pPr>
      <w:r>
        <w:rPr>
          <w:rFonts w:ascii="Calibri" w:hAnsi="Calibri"/>
          <w:b w:val="0"/>
          <w:i w:val="0"/>
          <w:color w:val="0B2545"/>
          <w:sz w:val="22"/>
        </w:rPr>
        <w:t>A reproducible execution pipeline with correctness checks, raw-data hashing and environment metadata.</w:t>
      </w:r>
    </w:p>
    <w:p>
      <w:pPr>
        <w:pStyle w:val="ListBullet"/>
        <w:spacing w:after="80" w:line="290" w:lineRule="auto"/>
        <w:ind w:left="540" w:hanging="279"/>
        <w:jc w:val="left"/>
      </w:pPr>
      <w:r>
        <w:rPr>
          <w:rFonts w:ascii="Calibri" w:hAnsi="Calibri"/>
          <w:b w:val="0"/>
          <w:i w:val="0"/>
          <w:color w:val="0B2545"/>
          <w:sz w:val="22"/>
        </w:rPr>
        <w:t>An empirical distinction between per-operation complexity and the complexity of a batch whose operation count also grows with n.</w:t>
      </w:r>
    </w:p>
    <w:p>
      <w:pPr>
        <w:pStyle w:val="ListBullet"/>
        <w:spacing w:after="80" w:line="290" w:lineRule="auto"/>
        <w:ind w:left="540" w:hanging="279"/>
        <w:jc w:val="left"/>
      </w:pPr>
      <w:r>
        <w:rPr>
          <w:rFonts w:ascii="Calibri" w:hAnsi="Calibri"/>
          <w:b w:val="0"/>
          <w:i w:val="0"/>
          <w:color w:val="0B2545"/>
          <w:sz w:val="22"/>
        </w:rPr>
        <w:t>A transparent account of measurement-resolution, implementation-equivalence and external-validity limitations.</w:t>
      </w:r>
    </w:p>
    <w:p>
      <w:pPr>
        <w:pStyle w:val="ListBullet"/>
        <w:spacing w:after="80" w:line="290" w:lineRule="auto"/>
        <w:ind w:left="540" w:hanging="279"/>
        <w:jc w:val="left"/>
      </w:pPr>
      <w:r>
        <w:rPr>
          <w:rFonts w:ascii="Calibri" w:hAnsi="Calibri"/>
          <w:b w:val="0"/>
          <w:i w:val="0"/>
          <w:color w:val="0B2545"/>
          <w:sz w:val="22"/>
        </w:rPr>
        <w:t>An empirical test of whether the C++/Python linked-container mismatch inflates the observed language gap, rather than leaving that concern as an unverified caveat.</w:t>
      </w:r>
    </w:p>
    <w:p>
      <w:pPr>
        <w:pStyle w:val="Heading1"/>
        <w:keepNext/>
      </w:pPr>
      <w:r>
        <w:t>2. Background and Related Work</w:t>
      </w:r>
    </w:p>
    <w:p>
      <w:pPr>
        <w:keepNext w:val="0"/>
        <w:spacing w:before="0" w:after="160" w:line="320" w:lineRule="auto"/>
        <w:jc w:val="both"/>
      </w:pPr>
      <w:r>
        <w:rPr>
          <w:rFonts w:ascii="Calibri" w:hAnsi="Calibri"/>
          <w:b w:val="0"/>
          <w:i w:val="0"/>
          <w:color w:val="0B2545"/>
          <w:sz w:val="22"/>
        </w:rP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keepNext w:val="0"/>
        <w:spacing w:before="0" w:after="160" w:line="320" w:lineRule="auto"/>
        <w:jc w:val="both"/>
      </w:pPr>
      <w:r>
        <w:rPr>
          <w:rFonts w:ascii="Calibri" w:hAnsi="Calibri"/>
          <w:b w:val="0"/>
          <w:i w:val="0"/>
          <w:color w:val="0B2545"/>
          <w:sz w:val="22"/>
        </w:rP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Fleming and Wallace further cautioned that benchmark summaries can mislead when inappropriate averages are used [7]. The present pilot therefore prioritises medians, dispersion, warm-ups, immutable raw results and correctness checks.</w:t>
      </w:r>
    </w:p>
    <w:p>
      <w:pPr>
        <w:keepNext w:val="0"/>
        <w:spacing w:before="0" w:after="160" w:line="320" w:lineRule="auto"/>
        <w:jc w:val="both"/>
      </w:pPr>
      <w:r>
        <w:rPr>
          <w:rFonts w:ascii="Calibri" w:hAnsi="Calibri"/>
          <w:b w:val="0"/>
          <w:i w:val="0"/>
          <w:color w:val="0B2545"/>
          <w:sz w:val="22"/>
        </w:rP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keepNext/>
      </w:pPr>
      <w:r>
        <w:t>3. Materials and Methods</w:t>
      </w:r>
    </w:p>
    <w:p>
      <w:pPr>
        <w:pStyle w:val="Heading2"/>
        <w:keepNext/>
      </w:pPr>
      <w:r>
        <w:t>3.1 Execution environment</w:t>
      </w:r>
    </w:p>
    <w:p>
      <w:pPr>
        <w:keepNext/>
        <w:spacing w:before="80" w:after="80" w:line="320" w:lineRule="auto"/>
      </w:pPr>
      <w:r>
        <w:rPr>
          <w:rFonts w:ascii="Calibri" w:hAnsi="Calibri"/>
          <w:b/>
          <w:i w:val="0"/>
          <w:color w:val="1F4D78"/>
          <w:sz w:val="19"/>
        </w:rPr>
        <w:t>Table 1. Recorded execution environment.</w:t>
      </w:r>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shd w:fill="2E74B5"/>
            <w:vAlign w:val="center"/>
            <w:tcMar>
              <w:top w:w="80" w:type="dxa"/>
              <w:start w:w="120" w:type="dxa"/>
              <w:bottom w:w="80" w:type="dxa"/>
              <w:end w:w="120" w:type="dxa"/>
            </w:tcMar>
          </w:tcPr>
          <w:p>
            <w:pPr>
              <w:spacing w:after="0"/>
              <w:jc w:val="center"/>
            </w:pPr>
            <w:r>
              <w:rPr>
                <w:rFonts w:ascii="Calibri" w:hAnsi="Calibri"/>
                <w:b/>
                <w:i w:val="0"/>
                <w:color w:val="FFFFFF"/>
                <w:sz w:val="18"/>
              </w:rPr>
              <w:t>Item</w:t>
            </w:r>
          </w:p>
        </w:tc>
        <w:tc>
          <w:tcPr>
            <w:tcW w:type="dxa" w:w="6960"/>
            <w:shd w:fill="2E74B5"/>
            <w:vAlign w:val="center"/>
            <w:tcMar>
              <w:top w:w="80" w:type="dxa"/>
              <w:start w:w="120" w:type="dxa"/>
              <w:bottom w:w="80" w:type="dxa"/>
              <w:end w:w="120" w:type="dxa"/>
            </w:tcMar>
          </w:tcPr>
          <w:p>
            <w:pPr>
              <w:spacing w:after="0"/>
              <w:jc w:val="center"/>
            </w:pPr>
            <w:r>
              <w:rPr>
                <w:rFonts w:ascii="Calibri" w:hAnsi="Calibri"/>
                <w:b/>
                <w:i w:val="0"/>
                <w:color w:val="FFFFFF"/>
                <w:sz w:val="18"/>
              </w:rPr>
              <w:t>Recorded value</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Computer</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MacBook Air (Mac14,2)</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Processor</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Apple M2, 8 cores (4 performance, 4 efficiency), arm64</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Memory</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8 GB unified memory</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Operating system</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macOS 26.5.2, Darwin 25.5.0</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Python</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CPython 3.13.5</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C++</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C++17 compiled with Apple Clang 21.0.0 using -O2</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Java</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Not executed: no working JDK was available</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Hardware counters</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Not collected: Linux perf unavailable on macOS</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Execution date</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23 August 2026</w:t>
            </w:r>
          </w:p>
        </w:tc>
      </w:tr>
    </w:tbl>
    <w:p>
      <w:pPr>
        <w:spacing w:after="40"/>
      </w:pPr>
    </w:p>
    <w:p>
      <w:pPr>
        <w:pStyle w:val="Heading2"/>
        <w:keepNext/>
      </w:pPr>
      <w:r>
        <w:t>3.2 Structures and workload</w:t>
      </w:r>
    </w:p>
    <w:p>
      <w:pPr>
        <w:keepNext w:val="0"/>
        <w:spacing w:before="0" w:after="160" w:line="320" w:lineRule="auto"/>
        <w:jc w:val="both"/>
      </w:pPr>
      <w:r>
        <w:rPr>
          <w:rFonts w:ascii="Calibri" w:hAnsi="Calibri"/>
          <w:b w:val="0"/>
          <w:i w:val="0"/>
          <w:color w:val="0B2545"/>
          <w:sz w:val="22"/>
        </w:rPr>
        <w:t>The experiment used three abstract structures. The dynamic-array condition used Python list [9] and C++ std::vector&lt;int&gt; [10]; the linked condition used a custom Python singly linked list and C++ std::list&lt;int&gt;; and the hash condition used Python dict and C++ std::unordered_map&lt;int,int&gt;. Inputs contained unique integers in a deterministic shuffled order.</w:t>
      </w:r>
    </w:p>
    <w:p>
      <w:pPr>
        <w:keepNext/>
        <w:spacing w:before="80" w:after="80" w:line="320" w:lineRule="auto"/>
      </w:pPr>
      <w:r>
        <w:rPr>
          <w:rFonts w:ascii="Calibri" w:hAnsi="Calibri"/>
          <w:b/>
          <w:i w:val="0"/>
          <w:color w:val="1F4D78"/>
          <w:sz w:val="19"/>
        </w:rPr>
        <w:t>Table 2. Common experimental workload.</w:t>
      </w:r>
    </w:p>
    <w:tbl>
      <w:tblPr>
        <w:tblStyle w:val="TableGrid"/>
        <w:tblW w:type="dxa" w:w="9360"/>
        <w:jc w:val="left"/>
        <w:tblLayout w:type="fixed"/>
        <w:tblLook w:firstColumn="1" w:firstRow="1" w:lastColumn="0" w:lastRow="0" w:noHBand="0" w:noVBand="1" w:val="04A0"/>
        <w:tblInd w:w="120" w:type="dxa"/>
      </w:tblPr>
      <w:tblGrid>
        <w:gridCol w:w="2300"/>
        <w:gridCol w:w="7060"/>
      </w:tblGrid>
      <w:tr>
        <w:trPr>
          <w:tblHeader w:val="true"/>
        </w:trPr>
        <w:tc>
          <w:tcPr>
            <w:tcW w:type="dxa" w:w="2300"/>
            <w:shd w:fill="2E74B5"/>
            <w:vAlign w:val="center"/>
            <w:tcMar>
              <w:top w:w="80" w:type="dxa"/>
              <w:start w:w="120" w:type="dxa"/>
              <w:bottom w:w="80" w:type="dxa"/>
              <w:end w:w="120" w:type="dxa"/>
            </w:tcMar>
          </w:tcPr>
          <w:p>
            <w:pPr>
              <w:spacing w:after="0"/>
              <w:jc w:val="center"/>
            </w:pPr>
            <w:r>
              <w:rPr>
                <w:rFonts w:ascii="Calibri" w:hAnsi="Calibri"/>
                <w:b/>
                <w:i w:val="0"/>
                <w:color w:val="FFFFFF"/>
                <w:sz w:val="18"/>
              </w:rPr>
              <w:t>Component</w:t>
            </w:r>
          </w:p>
        </w:tc>
        <w:tc>
          <w:tcPr>
            <w:tcW w:type="dxa" w:w="7060"/>
            <w:shd w:fill="2E74B5"/>
            <w:vAlign w:val="center"/>
            <w:tcMar>
              <w:top w:w="80" w:type="dxa"/>
              <w:start w:w="120" w:type="dxa"/>
              <w:bottom w:w="80" w:type="dxa"/>
              <w:end w:w="120" w:type="dxa"/>
            </w:tcMar>
          </w:tcPr>
          <w:p>
            <w:pPr>
              <w:spacing w:after="0"/>
              <w:jc w:val="center"/>
            </w:pPr>
            <w:r>
              <w:rPr>
                <w:rFonts w:ascii="Calibri" w:hAnsi="Calibri"/>
                <w:b/>
                <w:i w:val="0"/>
                <w:color w:val="FFFFFF"/>
                <w:sz w:val="18"/>
              </w:rPr>
              <w:t>Definition</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Input size</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1,000; 5,000; 10,000; 25,000</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Build</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Construct the structure from all n values</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Search</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Query max(10, 0.01n) keys; half present and half absent</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Delete</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Delete max(1, 0.01n) keys known to be present</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Traverse</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Sum all keys remaining after deletion</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Correctness</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Compare search-hit count and post-deletion checksum</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Timing boundary</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Exclude dataset parsing and CSV output</w:t>
            </w:r>
          </w:p>
        </w:tc>
      </w:tr>
    </w:tbl>
    <w:p>
      <w:pPr>
        <w:spacing w:after="40"/>
      </w:pPr>
    </w:p>
    <w:p>
      <w:pPr>
        <w:pStyle w:val="Heading2"/>
        <w:keepNext/>
      </w:pPr>
      <w:r>
        <w:t>3.3 Dataset generation and validation</w:t>
      </w:r>
    </w:p>
    <w:p>
      <w:pPr>
        <w:keepNext w:val="0"/>
        <w:spacing w:before="0" w:after="160" w:line="320" w:lineRule="auto"/>
        <w:jc w:val="both"/>
      </w:pPr>
      <w:r>
        <w:rPr>
          <w:rFonts w:ascii="Calibri" w:hAnsi="Calibri"/>
          <w:b w:val="0"/>
          <w:i w:val="0"/>
          <w:color w:val="0B2545"/>
          <w:sz w:val="22"/>
        </w:rP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keepNext/>
      </w:pPr>
      <w:r>
        <w:t>3.4 Measurement protocol</w:t>
      </w:r>
    </w:p>
    <w:p>
      <w:pPr>
        <w:keepNext w:val="0"/>
        <w:spacing w:before="0" w:after="160" w:line="320" w:lineRule="auto"/>
        <w:jc w:val="both"/>
      </w:pPr>
      <w:r>
        <w:rPr>
          <w:rFonts w:ascii="Calibri" w:hAnsi="Calibri"/>
          <w:b w:val="0"/>
          <w:i w:val="0"/>
          <w:color w:val="0B2545"/>
          <w:sz w:val="22"/>
        </w:rP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spacing w:before="80" w:after="160" w:line="300" w:lineRule="auto"/>
        <w:ind w:left="216" w:right="216"/>
        <w:shd w:fill="FCE8E6"/>
      </w:pPr>
      <w:r>
        <w:rPr>
          <w:rFonts w:ascii="Calibri" w:hAnsi="Calibri"/>
          <w:b/>
          <w:i w:val="0"/>
          <w:color w:val="9B1C1C"/>
          <w:sz w:val="22"/>
        </w:rPr>
        <w:t xml:space="preserve">Measurement caveat: </w:t>
      </w:r>
      <w:r>
        <w:rPr>
          <w:rFonts w:ascii="Calibri" w:hAnsi="Calibri"/>
          <w:b w:val="0"/>
          <w:i w:val="0"/>
          <w:color w:val="0B2545"/>
          <w:sz w:val="22"/>
        </w:rPr>
        <w:t>Some optimized C++ workloads completed in less than one microsecond, and the C++ hash-search median at n = 1,000 was recorded as zero. Such values are below a dependable single-shot timing range and are treated as resolution-limited rather than literal zero-cost operations.</w:t>
      </w:r>
    </w:p>
    <w:p>
      <w:pPr>
        <w:pStyle w:val="Heading2"/>
        <w:keepNext/>
      </w:pPr>
      <w:r>
        <w:t>3.5 Analysis</w:t>
      </w:r>
    </w:p>
    <w:p>
      <w:pPr>
        <w:keepNext w:val="0"/>
        <w:spacing w:before="0" w:after="160" w:line="320" w:lineRule="auto"/>
        <w:jc w:val="both"/>
      </w:pPr>
      <w:r>
        <w:rPr>
          <w:rFonts w:ascii="Calibri" w:hAnsi="Calibri"/>
          <w:b w:val="0"/>
          <w:i w:val="0"/>
          <w:color w:val="0B2545"/>
          <w:sz w:val="22"/>
        </w:rPr>
        <w:t>The primary summary was the median across ten repetitions, with the mean, standard deviation and non-parametric bootstrap interval retained in the generated analysis file [8]. Coefficient of variation (CV) was used to describe group dispersion. Python-to-C++ median ratios at n = 25,000 were calculated descriptively; Cliff's delta was also computed. Scaling exponents between n = 5,000 and n = 25,000 were estimated as log(T2/T1) / log(n2/n1). No causal language claim is made because language and container representation were not independently manipulated.</w:t>
      </w:r>
    </w:p>
    <w:p>
      <w:pPr>
        <w:pStyle w:val="Heading1"/>
        <w:keepNext/>
      </w:pPr>
      <w:r>
        <w:t>4. Results</w:t>
      </w:r>
    </w:p>
    <w:p>
      <w:pPr>
        <w:pStyle w:val="Heading2"/>
        <w:keepNext/>
      </w:pPr>
      <w:r>
        <w:t>4.1 Correctness and measurement stability</w:t>
      </w:r>
    </w:p>
    <w:p>
      <w:pPr>
        <w:keepNext w:val="0"/>
        <w:spacing w:before="0" w:after="160" w:line="320" w:lineRule="auto"/>
        <w:jc w:val="both"/>
      </w:pPr>
      <w:r>
        <w:rPr>
          <w:rFonts w:ascii="Calibri" w:hAnsi="Calibri"/>
          <w:b w:val="0"/>
          <w:i w:val="0"/>
          <w:color w:val="0B2545"/>
          <w:sz w:val="22"/>
        </w:rP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keepNext/>
      </w:pPr>
      <w:r>
        <w:t>4.2 Search scaling</w:t>
      </w:r>
    </w:p>
    <w:p>
      <w:pPr>
        <w:keepNext/>
        <w:jc w:val="center"/>
      </w:pPr>
      <w:r>
        <w:drawing>
          <wp:inline xmlns:a="http://schemas.openxmlformats.org/drawingml/2006/main" xmlns:pic="http://schemas.openxmlformats.org/drawingml/2006/picture">
            <wp:extent cx="5760720" cy="2944368"/>
            <wp:docPr id="1" name="Picture 1" descr="Two-panel log-log line chart comparing array, linked and hash search workload times for C++17 and Python 3.13 across four input sizes." title="Figure 1"/>
            <wp:cNvGraphicFramePr>
              <a:graphicFrameLocks noChangeAspect="1"/>
            </wp:cNvGraphicFramePr>
            <a:graphic>
              <a:graphicData uri="http://schemas.openxmlformats.org/drawingml/2006/picture">
                <pic:pic>
                  <pic:nvPicPr>
                    <pic:cNvPr id="0" name="figure_1_search_scaling.png"/>
                    <pic:cNvPicPr/>
                  </pic:nvPicPr>
                  <pic:blipFill>
                    <a:blip r:embed="rId11"/>
                    <a:stretch>
                      <a:fillRect/>
                    </a:stretch>
                  </pic:blipFill>
                  <pic:spPr>
                    <a:xfrm>
                      <a:off x="0" y="0"/>
                      <a:ext cx="5760720" cy="2944368"/>
                    </a:xfrm>
                    <a:prstGeom prst="rect"/>
                  </pic:spPr>
                </pic:pic>
              </a:graphicData>
            </a:graphic>
          </wp:inline>
        </w:drawing>
      </w:r>
    </w:p>
    <w:p>
      <w:pPr>
        <w:keepNext w:val="0"/>
        <w:spacing w:after="180"/>
        <w:jc w:val="center"/>
      </w:pPr>
      <w:r>
        <w:rPr>
          <w:rFonts w:ascii="Calibri" w:hAnsi="Calibri"/>
          <w:b w:val="0"/>
          <w:i/>
          <w:color w:val="5E6B78"/>
          <w:sz w:val="18"/>
        </w:rPr>
        <w:t>Figure 1. Median search-workload time across input sizes. The zero C++ hash-search median at n = 1,000 is omitted from the logarithmic plot.</w:t>
      </w:r>
    </w:p>
    <w:p>
      <w:pPr>
        <w:keepNext w:val="0"/>
        <w:spacing w:before="0" w:after="160" w:line="320" w:lineRule="auto"/>
        <w:jc w:val="both"/>
      </w:pPr>
      <w:r>
        <w:rPr>
          <w:rFonts w:ascii="Calibri" w:hAnsi="Calibri"/>
          <w:b w:val="0"/>
          <w:i w:val="0"/>
          <w:color w:val="0B2545"/>
          <w:sz w:val="22"/>
        </w:rP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pStyle w:val="Heading2"/>
        <w:keepNext/>
      </w:pPr>
      <w:r>
        <w:t>4.3 Runtime at the largest input</w:t>
      </w:r>
    </w:p>
    <w:p>
      <w:pPr>
        <w:keepNext/>
        <w:spacing w:before="80" w:after="80" w:line="320" w:lineRule="auto"/>
      </w:pPr>
      <w:r>
        <w:rPr>
          <w:rFonts w:ascii="Calibri" w:hAnsi="Calibri"/>
          <w:b/>
          <w:i w:val="0"/>
          <w:color w:val="1F4D78"/>
          <w:sz w:val="19"/>
        </w:rPr>
        <w:t>Table 3. Median workload runtime at n = 25,000 (ten repetitions).</w:t>
      </w:r>
    </w:p>
    <w:tbl>
      <w:tblPr>
        <w:tblStyle w:val="TableGrid"/>
        <w:tblW w:type="dxa" w:w="9360"/>
        <w:jc w:val="left"/>
        <w:tblLayout w:type="fixed"/>
        <w:tblLook w:firstColumn="1" w:firstRow="1" w:lastColumn="0" w:lastRow="0" w:noHBand="0" w:noVBand="1" w:val="04A0"/>
        <w:tblInd w:w="120" w:type="dxa"/>
      </w:tblPr>
      <w:tblGrid>
        <w:gridCol w:w="1700"/>
        <w:gridCol w:w="1800"/>
        <w:gridCol w:w="1900"/>
        <w:gridCol w:w="2100"/>
        <w:gridCol w:w="1860"/>
      </w:tblGrid>
      <w:tr>
        <w:trPr>
          <w:tblHeader w:val="true"/>
        </w:trPr>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7"/>
              </w:rPr>
              <w:t>Structure</w:t>
            </w:r>
          </w:p>
        </w:tc>
        <w:tc>
          <w:tcPr>
            <w:tcW w:type="dxa" w:w="18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19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C++17</w:t>
            </w:r>
          </w:p>
        </w:tc>
        <w:tc>
          <w:tcPr>
            <w:tcW w:type="dxa" w:w="210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 3.13</w:t>
            </w:r>
          </w:p>
        </w:tc>
        <w:tc>
          <w:tcPr>
            <w:tcW w:type="dxa" w:w="186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Python/C++</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0.0066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0.0312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4.76x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1.425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16.389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11.50x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1.072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16.401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15.30x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0.958 us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0.0878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91.68x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0.2152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3.376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15.69x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5.712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123.330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21.59x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3.742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76.788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20.52x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0.0297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0.7406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24.91x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0.2779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0.6200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2.23x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0.708 us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0.0096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13.57x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0.0049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0.0091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1.86x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0.0295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0.1087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3.68x</w:t>
            </w:r>
          </w:p>
        </w:tc>
      </w:tr>
    </w:tbl>
    <w:p>
      <w:pPr>
        <w:spacing w:after="40"/>
      </w:pPr>
    </w:p>
    <w:p>
      <w:pPr>
        <w:keepNext w:val="0"/>
        <w:spacing w:before="0" w:after="160" w:line="320" w:lineRule="auto"/>
        <w:jc w:val="both"/>
      </w:pPr>
      <w:r>
        <w:rPr>
          <w:rFonts w:ascii="Calibri" w:hAnsi="Calibri"/>
          <w:b w:val="0"/>
          <w:i w:val="0"/>
          <w:color w:val="0B2545"/>
          <w:sz w:val="22"/>
        </w:rP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keepNext/>
        <w:jc w:val="center"/>
      </w:pPr>
      <w:r>
        <w:drawing>
          <wp:inline xmlns:a="http://schemas.openxmlformats.org/drawingml/2006/main" xmlns:pic="http://schemas.openxmlformats.org/drawingml/2006/picture">
            <wp:extent cx="5760720" cy="3528441"/>
            <wp:docPr id="2" name="Picture 2" descr="Horizontal bar chart of Python-to-C++ median runtime ratios for insertion, search, deletion and traversal across array, linked and hash structures." title="Figure 2"/>
            <wp:cNvGraphicFramePr>
              <a:graphicFrameLocks noChangeAspect="1"/>
            </wp:cNvGraphicFramePr>
            <a:graphic>
              <a:graphicData uri="http://schemas.openxmlformats.org/drawingml/2006/picture">
                <pic:pic>
                  <pic:nvPicPr>
                    <pic:cNvPr id="0" name="figure_2_language_ratios.png"/>
                    <pic:cNvPicPr/>
                  </pic:nvPicPr>
                  <pic:blipFill>
                    <a:blip r:embed="rId12"/>
                    <a:stretch>
                      <a:fillRect/>
                    </a:stretch>
                  </pic:blipFill>
                  <pic:spPr>
                    <a:xfrm>
                      <a:off x="0" y="0"/>
                      <a:ext cx="5760720" cy="3528441"/>
                    </a:xfrm>
                    <a:prstGeom prst="rect"/>
                  </pic:spPr>
                </pic:pic>
              </a:graphicData>
            </a:graphic>
          </wp:inline>
        </w:drawing>
      </w:r>
    </w:p>
    <w:p>
      <w:pPr>
        <w:keepNext w:val="0"/>
        <w:spacing w:after="180"/>
        <w:jc w:val="center"/>
      </w:pPr>
      <w:r>
        <w:rPr>
          <w:rFonts w:ascii="Calibri" w:hAnsi="Calibri"/>
          <w:b w:val="0"/>
          <w:i/>
          <w:color w:val="5E6B78"/>
          <w:sz w:val="18"/>
        </w:rPr>
        <w:t>Figure 2. Python-to-C++ median runtime ratios at n = 25,000. The horizontal axis is logarithmic.</w:t>
      </w:r>
    </w:p>
    <w:p>
      <w:pPr>
        <w:pStyle w:val="Heading2"/>
        <w:keepNext/>
      </w:pPr>
      <w:r>
        <w:t>4.4 Deletion and traversal patterns</w:t>
      </w:r>
    </w:p>
    <w:p>
      <w:pPr>
        <w:keepNext w:val="0"/>
        <w:spacing w:before="0" w:after="160" w:line="320" w:lineRule="auto"/>
        <w:jc w:val="both"/>
      </w:pPr>
      <w:r>
        <w:rPr>
          <w:rFonts w:ascii="Calibri" w:hAnsi="Calibri"/>
          <w:b w:val="0"/>
          <w:i w:val="0"/>
          <w:color w:val="0B2545"/>
          <w:sz w:val="22"/>
        </w:rP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keepNext/>
      </w:pPr>
      <w:r>
        <w:t>4.5 Construct-validity check: a singly-linked C++ comparison</w:t>
      </w:r>
    </w:p>
    <w:p>
      <w:pPr>
        <w:keepNext w:val="0"/>
        <w:spacing w:before="0" w:after="160" w:line="320" w:lineRule="auto"/>
        <w:jc w:val="both"/>
      </w:pPr>
      <w:r>
        <w:rPr>
          <w:rFonts w:ascii="Calibri" w:hAnsi="Calibri"/>
          <w:b w:val="0"/>
          <w:i w:val="0"/>
          <w:color w:val="0B2545"/>
          <w:sz w:val="22"/>
        </w:rPr>
        <w:t>Section 6.2 notes a representational mismatch in the linked condition: the C++ side used std::list, which is typically doubly linked, while the Python side used a custom singly linked list. To test whether this mismatch inflates the reported ratios rather than merely being noted as a caveat, the C++ linked benchmark was re-run using std::forward_list, a singly-linked container with the same single-next-pointer structure as the Python implementation, across all four input sizes with the same three-warm-up, ten-repetition protocol. Every forward_list run reproduced the same search-hit count and post-deletion checksum as both the original std::list run and the Python run at every input size, verified programmatically before the comparison was computed.</w:t>
      </w:r>
    </w:p>
    <w:p>
      <w:pPr>
        <w:keepNext/>
        <w:spacing w:before="80" w:after="80" w:line="320" w:lineRule="auto"/>
      </w:pPr>
      <w:r>
        <w:rPr>
          <w:rFonts w:ascii="Calibri" w:hAnsi="Calibri"/>
          <w:b/>
          <w:i w:val="0"/>
          <w:color w:val="1F4D78"/>
          <w:sz w:val="19"/>
        </w:rPr>
        <w:t>Table 4. Construct-validity check: median linked-structure runtime at n = 25,000 using a singly-linked C++ container matched to the Python implementation.</w:t>
      </w:r>
    </w:p>
    <w:tbl>
      <w:tblPr>
        <w:tblStyle w:val="TableGrid"/>
        <w:tblW w:type="dxa" w:w="9360"/>
        <w:jc w:val="left"/>
        <w:tblLayout w:type="fixed"/>
        <w:tblLook w:firstColumn="1" w:firstRow="1" w:lastColumn="0" w:lastRow="0" w:noHBand="0" w:noVBand="1" w:val="04A0"/>
        <w:tblInd w:w="120" w:type="dxa"/>
      </w:tblPr>
      <w:tblGrid>
        <w:gridCol w:w="1600"/>
        <w:gridCol w:w="1900"/>
        <w:gridCol w:w="2000"/>
        <w:gridCol w:w="2000"/>
        <w:gridCol w:w="1860"/>
      </w:tblGrid>
      <w:tr>
        <w:trPr>
          <w:tblHeader w:val="true"/>
        </w:trPr>
        <w:tc>
          <w:tcPr>
            <w:tcW w:type="dxa" w:w="16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19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 std::list</w:t>
            </w:r>
          </w:p>
        </w:tc>
        <w:tc>
          <w:tcPr>
            <w:tcW w:type="dxa" w:w="20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 std::forward_list</w:t>
            </w:r>
          </w:p>
        </w:tc>
        <w:tc>
          <w:tcPr>
            <w:tcW w:type="dxa" w:w="200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 3.13</w:t>
            </w:r>
          </w:p>
        </w:tc>
        <w:tc>
          <w:tcPr>
            <w:tcW w:type="dxa" w:w="186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Python/forward_list</w:t>
            </w:r>
          </w:p>
        </w:tc>
      </w:tr>
      <w:tr>
        <w:tc>
          <w:tcPr>
            <w:tcW w:type="dxa" w:w="16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pPr>
            <w:r>
              <w:rPr>
                <w:rFonts w:ascii="Calibri" w:hAnsi="Calibri"/>
                <w:b w:val="0"/>
                <w:i w:val="0"/>
                <w:color w:val="0B2545"/>
                <w:sz w:val="17"/>
              </w:rPr>
              <w:t>0.2152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0.2801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3.376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12.05x</w:t>
            </w:r>
          </w:p>
        </w:tc>
      </w:tr>
      <w:tr>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pPr>
            <w:r>
              <w:rPr>
                <w:rFonts w:ascii="Calibri" w:hAnsi="Calibri"/>
                <w:b w:val="0"/>
                <w:i w:val="0"/>
                <w:color w:val="0B2545"/>
                <w:sz w:val="17"/>
              </w:rPr>
              <w:t>5.712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4.670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123.330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26.41x</w:t>
            </w:r>
          </w:p>
        </w:tc>
      </w:tr>
      <w:tr>
        <w:tc>
          <w:tcPr>
            <w:tcW w:type="dxa" w:w="16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pPr>
            <w:r>
              <w:rPr>
                <w:rFonts w:ascii="Calibri" w:hAnsi="Calibri"/>
                <w:b w:val="0"/>
                <w:i w:val="0"/>
                <w:color w:val="0B2545"/>
                <w:sz w:val="17"/>
              </w:rPr>
              <w:t>3.742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3.232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76.788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23.76x</w:t>
            </w:r>
          </w:p>
        </w:tc>
      </w:tr>
      <w:tr>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pPr>
            <w:r>
              <w:rPr>
                <w:rFonts w:ascii="Calibri" w:hAnsi="Calibri"/>
                <w:b w:val="0"/>
                <w:i w:val="0"/>
                <w:color w:val="0B2545"/>
                <w:sz w:val="17"/>
              </w:rPr>
              <w:t>0.0297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0.0231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0.7406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32.05x</w:t>
            </w:r>
          </w:p>
        </w:tc>
      </w:tr>
    </w:tbl>
    <w:p>
      <w:pPr>
        <w:spacing w:after="40"/>
      </w:pPr>
    </w:p>
    <w:p>
      <w:pPr>
        <w:keepNext w:val="0"/>
        <w:spacing w:before="0" w:after="160" w:line="320" w:lineRule="auto"/>
        <w:jc w:val="both"/>
      </w:pPr>
      <w:r>
        <w:rPr>
          <w:rFonts w:ascii="Calibri" w:hAnsi="Calibri"/>
          <w:b w:val="0"/>
          <w:i w:val="0"/>
          <w:color w:val="0B2545"/>
          <w:sz w:val="22"/>
        </w:rP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Between n = 5,000 and n = 25,000, the forward_list search and deletion exponents were 1.78 and 1.64 respectively, consistent with the batch-scaling explanation given in Section 5.1 for std::list. The construct-validity concern raised in Section 6.2 therefore does not appear to be inflating the reported Python/C++ ratios for the linked condition, though it remains a caveat for claims about a specific container's internal performance rather than about Python versus C++ generally.</w:t>
      </w:r>
    </w:p>
    <w:p>
      <w:pPr>
        <w:pStyle w:val="Heading1"/>
        <w:keepNext/>
      </w:pPr>
      <w:r>
        <w:t>5. Discussion</w:t>
      </w:r>
    </w:p>
    <w:p>
      <w:pPr>
        <w:pStyle w:val="Heading2"/>
        <w:keepNext/>
      </w:pPr>
      <w:r>
        <w:t>5.1 Big-O explained, not contradicted</w:t>
      </w:r>
    </w:p>
    <w:p>
      <w:pPr>
        <w:keepNext w:val="0"/>
        <w:spacing w:before="0" w:after="160" w:line="320" w:lineRule="auto"/>
        <w:jc w:val="both"/>
      </w:pPr>
      <w:r>
        <w:rPr>
          <w:rFonts w:ascii="Calibri" w:hAnsi="Calibri"/>
          <w:b w:val="0"/>
          <w:i w:val="0"/>
          <w:color w:val="0B2545"/>
          <w:sz w:val="22"/>
        </w:rP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keepNext/>
      </w:pPr>
      <w:r>
        <w:t>5.2 Language and representation effects</w:t>
      </w:r>
    </w:p>
    <w:p>
      <w:pPr>
        <w:keepNext w:val="0"/>
        <w:spacing w:before="0" w:after="160" w:line="320" w:lineRule="auto"/>
        <w:jc w:val="both"/>
      </w:pPr>
      <w:r>
        <w:rPr>
          <w:rFonts w:ascii="Calibri" w:hAnsi="Calibri"/>
          <w:b w:val="0"/>
          <w:i w:val="0"/>
          <w:color w:val="0B2545"/>
          <w:sz w:val="22"/>
        </w:rP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and compiler transformations. Hash insertion and deletion showed smaller ratios, indicating that language overhead is not a single constant applied uniformly to every structure and operation.</w:t>
      </w:r>
    </w:p>
    <w:p>
      <w:pPr>
        <w:pStyle w:val="Heading2"/>
        <w:keepNext/>
      </w:pPr>
      <w:r>
        <w:t>5.3 Educational value</w:t>
      </w:r>
    </w:p>
    <w:p>
      <w:pPr>
        <w:keepNext w:val="0"/>
        <w:spacing w:before="0" w:after="160" w:line="320" w:lineRule="auto"/>
        <w:jc w:val="both"/>
      </w:pPr>
      <w:r>
        <w:rPr>
          <w:rFonts w:ascii="Calibri" w:hAnsi="Calibri"/>
          <w:b w:val="0"/>
          <w:i w:val="0"/>
          <w:color w:val="0B2545"/>
          <w:sz w:val="22"/>
        </w:rP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The repository makes those questions visible and reproducible.</w:t>
      </w:r>
    </w:p>
    <w:p>
      <w:pPr>
        <w:pStyle w:val="Heading1"/>
        <w:keepNext/>
      </w:pPr>
      <w:r>
        <w:t>6. Threats to Validity</w:t>
      </w:r>
    </w:p>
    <w:p>
      <w:pPr>
        <w:pStyle w:val="Heading2"/>
        <w:keepNext/>
      </w:pPr>
      <w:r>
        <w:t>6.1 Internal validity</w:t>
      </w:r>
    </w:p>
    <w:p>
      <w:pPr>
        <w:keepNext w:val="0"/>
        <w:spacing w:before="0" w:after="160" w:line="320" w:lineRule="auto"/>
        <w:jc w:val="both"/>
      </w:pPr>
      <w:r>
        <w:rPr>
          <w:rFonts w:ascii="Calibri" w:hAnsi="Calibri"/>
          <w:b w:val="0"/>
          <w:i w:val="0"/>
          <w:color w:val="0B2545"/>
          <w:sz w:val="22"/>
        </w:rP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A revised benchmark should batch pure operations until each timed interval exceeds a predefined duration and should separately quantify timing overhead.</w:t>
      </w:r>
    </w:p>
    <w:p>
      <w:pPr>
        <w:pStyle w:val="Heading2"/>
        <w:keepNext/>
      </w:pPr>
      <w:r>
        <w:t>6.2 Construct validity</w:t>
      </w:r>
    </w:p>
    <w:p>
      <w:pPr>
        <w:keepNext w:val="0"/>
        <w:spacing w:before="0" w:after="160" w:line="320" w:lineRule="auto"/>
        <w:jc w:val="both"/>
      </w:pPr>
      <w:r>
        <w:rPr>
          <w:rFonts w:ascii="Calibri" w:hAnsi="Calibri"/>
          <w:b w:val="0"/>
          <w:i w:val="0"/>
          <w:color w:val="0B2545"/>
          <w:sz w:val="22"/>
        </w:rP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4.5, which reruns the C++ linked benchmark with the singly-linked std::forward_list; the resulting ratios do not shrink under the more closely matched comparison, indicating the linkage mismatch is not the source of the observed language gap. Peak memory and cache behaviour were proposed in the broader project but were not measured on this Mac and are not inferred in this paper.</w:t>
      </w:r>
    </w:p>
    <w:p>
      <w:pPr>
        <w:pStyle w:val="Heading2"/>
        <w:keepNext/>
      </w:pPr>
      <w:r>
        <w:t>6.3 External and conclusion validity</w:t>
      </w:r>
    </w:p>
    <w:p>
      <w:pPr>
        <w:keepNext w:val="0"/>
        <w:spacing w:before="0" w:after="160" w:line="320" w:lineRule="auto"/>
        <w:jc w:val="both"/>
      </w:pPr>
      <w:r>
        <w:rPr>
          <w:rFonts w:ascii="Calibri" w:hAnsi="Calibri"/>
          <w:b w:val="0"/>
          <w:i w:val="0"/>
          <w:color w:val="0B2545"/>
          <w:sz w:val="22"/>
        </w:rPr>
        <w:t>One Apple M2 laptop, one Python version and one C++ toolchain cannot represent other processors, operating systems, compilers or runtime configurations. Only four sizes and one random-input family were examined. Ten repetitions support descriptive stability but not broad population inference. Java was not executed because no working JDK was available. The conclusions are therefore restricted to this environment and protocol.</w:t>
      </w:r>
    </w:p>
    <w:p>
      <w:pPr>
        <w:pStyle w:val="Heading1"/>
        <w:keepNext/>
      </w:pPr>
      <w:r>
        <w:t>7. Conclusion and Future Work</w:t>
      </w:r>
    </w:p>
    <w:p>
      <w:pPr>
        <w:keepNext w:val="0"/>
        <w:spacing w:before="0" w:after="160" w:line="320" w:lineRule="auto"/>
        <w:jc w:val="both"/>
      </w:pPr>
      <w:r>
        <w:rPr>
          <w:rFonts w:ascii="Calibri" w:hAnsi="Calibri"/>
          <w:b w:val="0"/>
          <w:i w:val="0"/>
          <w:color w:val="0B2545"/>
          <w:sz w:val="22"/>
        </w:rPr>
        <w:t>This reproducible Mac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The study also exposed a measurement weakness: several optimized C++ workloads were too short for reliable single-shot timing.</w:t>
      </w:r>
    </w:p>
    <w:p>
      <w:pPr>
        <w:keepNext w:val="0"/>
        <w:spacing w:before="0" w:after="160" w:line="320" w:lineRule="auto"/>
        <w:jc w:val="both"/>
      </w:pPr>
      <w:r>
        <w:rPr>
          <w:rFonts w:ascii="Calibri" w:hAnsi="Calibri"/>
          <w:b w:val="0"/>
          <w:i w:val="0"/>
          <w:color w:val="0B2545"/>
          <w:sz w:val="22"/>
        </w:rPr>
        <w:t>Before journal submission, the benchmark should use calibrated operation batching, add Java 17, collect peak resident memory and hardware cache counters on a controlled Linux machine, record temperature and power mode, test additional input distributions, and reproduce the experiment on at least one independent system. Those extensions should be reported as new evidence, not combined silently with the present Mac data.</w:t>
      </w:r>
    </w:p>
    <w:p>
      <w:pPr>
        <w:pStyle w:val="Heading1"/>
        <w:keepNext/>
      </w:pPr>
      <w:r>
        <w:t>Data and Code Availability</w:t>
      </w:r>
    </w:p>
    <w:p>
      <w:pPr>
        <w:keepNext w:val="0"/>
        <w:spacing w:before="0" w:after="160" w:line="320" w:lineRule="auto"/>
        <w:jc w:val="both"/>
      </w:pPr>
      <w:r>
        <w:rPr>
          <w:rFonts w:ascii="Calibri" w:hAnsi="Calibri"/>
          <w:b w:val="0"/>
          <w:i w:val="0"/>
          <w:color w:val="0B2545"/>
          <w:sz w:val="22"/>
        </w:rPr>
        <w:t>The repository contains the dataset generator, Python and C++ implementations, Java source, validation tests, execution configuration, raw CSV records and analysis scripts. The raw combined CSV contains 240 records and has SHA-256 digest c86df6732b7e5e78e7a71d6b72ae65535b648b10ccb4c39255a4652018ed3dff. The supplementary singly-linked construct-validity check (Section 4.5) adds 40 further C++ records with SHA-256 digest ccffc4c004456ee9474ce36489e7bb7c6dacb9bb2b3dfb96ba6e0108c1965bf8. The repository is publicly available at https://github.com/maheshchudaman/beyond-big-o-research and is archived on Zenodo with concept DOI 10.5281/zenodo.22089928 (version-specific DOI for this release: 10.5281/zenodo.22089929).</w:t>
      </w:r>
    </w:p>
    <w:p>
      <w:pPr>
        <w:pStyle w:val="Heading1"/>
        <w:keepNext/>
      </w:pPr>
      <w:r>
        <w:t>Ethics, Authorship and AI-Assistance Statement</w:t>
      </w:r>
    </w:p>
    <w:p>
      <w:pPr>
        <w:keepNext w:val="0"/>
        <w:spacing w:before="0" w:after="160" w:line="320" w:lineRule="auto"/>
        <w:jc w:val="both"/>
      </w:pPr>
      <w:r>
        <w:rPr>
          <w:rFonts w:ascii="Calibri" w:hAnsi="Calibri"/>
          <w:b w:val="0"/>
          <w:i w:val="0"/>
          <w:color w:val="0B2545"/>
          <w:sz w:val="22"/>
        </w:rPr>
        <w:t>No human-participant, personal or sensitive data were used. Codex assisted with repository scaffolding, code review, execution orchestration, analysis scripting and preparation of this draft. All numerical claims in the manuscript were generated programmatically from the preserved raw CSV; missing measurements were not fabricated. Before submission, the named authors must independently verify the code, results, citations and wording, approve authorship contributions, and adapt this disclosure to the selected journal's policy.</w:t>
      </w:r>
    </w:p>
    <w:p>
      <w:pPr>
        <w:pStyle w:val="Heading1"/>
        <w:keepNext/>
      </w:pPr>
      <w:r>
        <w:t>References</w:t>
      </w:r>
    </w:p>
    <w:p>
      <w:pPr>
        <w:pStyle w:val="ListNumber"/>
        <w:spacing w:after="100" w:line="276" w:lineRule="auto"/>
        <w:ind w:left="504" w:hanging="360"/>
      </w:pPr>
      <w:r>
        <w:rPr>
          <w:rFonts w:ascii="Calibri" w:hAnsi="Calibri"/>
          <w:b w:val="0"/>
          <w:i w:val="0"/>
          <w:color w:val="0B2545"/>
          <w:sz w:val="19"/>
        </w:rPr>
        <w:t>Cormen, T. H., Leiserson, C. E., Rivest, R. L., and Stein, C. (2022). Introduction to Algorithms (4th ed.). MIT Press.</w:t>
      </w:r>
    </w:p>
    <w:p>
      <w:pPr>
        <w:pStyle w:val="ListNumber"/>
        <w:spacing w:after="100" w:line="276" w:lineRule="auto"/>
        <w:ind w:left="504" w:hanging="360"/>
      </w:pPr>
      <w:r>
        <w:rPr>
          <w:rFonts w:ascii="Calibri" w:hAnsi="Calibri"/>
          <w:b w:val="0"/>
          <w:i w:val="0"/>
          <w:color w:val="0B2545"/>
          <w:sz w:val="19"/>
        </w:rPr>
        <w:t>Hennessy, J. L., and Patterson, D. A. (2019). Computer Architecture: A Quantitative Approach (6th ed.). Morgan Kaufmann.</w:t>
      </w:r>
    </w:p>
    <w:p>
      <w:pPr>
        <w:pStyle w:val="ListNumber"/>
        <w:spacing w:after="100" w:line="276" w:lineRule="auto"/>
        <w:ind w:left="504" w:hanging="360"/>
      </w:pPr>
      <w:r>
        <w:rPr>
          <w:rFonts w:ascii="Calibri" w:hAnsi="Calibri"/>
          <w:b w:val="0"/>
          <w:i w:val="0"/>
          <w:color w:val="0B2545"/>
          <w:sz w:val="19"/>
        </w:rPr>
        <w:t>Sanders, P. (2009). Algorithm Engineering - An Attempt at a Definition. In Efficient Algorithms, LNCS 5760, 321-340. https://doi.org/10.1007/978-3-642-03456-5_22</w:t>
      </w:r>
    </w:p>
    <w:p>
      <w:pPr>
        <w:pStyle w:val="ListNumber"/>
        <w:spacing w:after="100" w:line="276" w:lineRule="auto"/>
        <w:ind w:left="504" w:hanging="360"/>
      </w:pPr>
      <w:r>
        <w:rPr>
          <w:rFonts w:ascii="Calibri" w:hAnsi="Calibri"/>
          <w:b w:val="0"/>
          <w:i w:val="0"/>
          <w:color w:val="0B2545"/>
          <w:sz w:val="19"/>
        </w:rPr>
        <w:t>Mytkowicz, T., Diwan, A., Hauswirth, M., and Sweeney, P. F. (2009). Producing wrong data without doing anything obviously wrong! Proceedings of ASPLOS XIV, 265-276. https://doi.org/10.1145/1508244.1508275</w:t>
      </w:r>
    </w:p>
    <w:p>
      <w:pPr>
        <w:pStyle w:val="ListNumber"/>
        <w:spacing w:after="100" w:line="276" w:lineRule="auto"/>
        <w:ind w:left="504" w:hanging="360"/>
      </w:pPr>
      <w:r>
        <w:rPr>
          <w:rFonts w:ascii="Calibri" w:hAnsi="Calibri"/>
          <w:b w:val="0"/>
          <w:i w:val="0"/>
          <w:color w:val="0B2545"/>
          <w:sz w:val="19"/>
        </w:rPr>
        <w:t>Georges, A., Buytaert, D., and Eeckhout, L. (2007). Statistically rigorous Java performance evaluation. Proceedings of OOPSLA 2007, 57-76. https://doi.org/10.1145/1297027.1297033</w:t>
      </w:r>
    </w:p>
    <w:p>
      <w:pPr>
        <w:pStyle w:val="ListNumber"/>
        <w:spacing w:after="100" w:line="276" w:lineRule="auto"/>
        <w:ind w:left="504" w:hanging="360"/>
      </w:pPr>
      <w:r>
        <w:rPr>
          <w:rFonts w:ascii="Calibri" w:hAnsi="Calibri"/>
          <w:b w:val="0"/>
          <w:i w:val="0"/>
          <w:color w:val="0B2545"/>
          <w:sz w:val="19"/>
        </w:rPr>
        <w:t>Kalibera, T., and Jones, R. (2013). Rigorous benchmarking in reasonable time. Proceedings of ISMM 2013, 63-74. https://doi.org/10.1145/2464157.2464160</w:t>
      </w:r>
    </w:p>
    <w:p>
      <w:pPr>
        <w:pStyle w:val="ListNumber"/>
        <w:spacing w:after="100" w:line="276" w:lineRule="auto"/>
        <w:ind w:left="504" w:hanging="360"/>
      </w:pPr>
      <w:r>
        <w:rPr>
          <w:rFonts w:ascii="Calibri" w:hAnsi="Calibri"/>
          <w:b w:val="0"/>
          <w:i w:val="0"/>
          <w:color w:val="0B2545"/>
          <w:sz w:val="19"/>
        </w:rPr>
        <w:t>Fleming, P. J., and Wallace, J. J. (1986). How not to lie with statistics: the correct way to summarize benchmark results. Communications of the ACM, 29(3), 218-221. https://doi.org/10.1145/5666.5673</w:t>
      </w:r>
    </w:p>
    <w:p>
      <w:pPr>
        <w:pStyle w:val="ListNumber"/>
        <w:spacing w:after="100" w:line="276" w:lineRule="auto"/>
        <w:ind w:left="504" w:hanging="360"/>
      </w:pPr>
      <w:r>
        <w:rPr>
          <w:rFonts w:ascii="Calibri" w:hAnsi="Calibri"/>
          <w:b w:val="0"/>
          <w:i w:val="0"/>
          <w:color w:val="0B2545"/>
          <w:sz w:val="19"/>
        </w:rPr>
        <w:t>Efron, B., and Tibshirani, R. J. (1993). An Introduction to the Bootstrap. Chapman and Hall/CRC.</w:t>
      </w:r>
    </w:p>
    <w:p>
      <w:pPr>
        <w:pStyle w:val="ListNumber"/>
        <w:spacing w:after="100" w:line="276" w:lineRule="auto"/>
        <w:ind w:left="504" w:hanging="360"/>
      </w:pPr>
      <w:r>
        <w:rPr>
          <w:rFonts w:ascii="Calibri" w:hAnsi="Calibri"/>
          <w:b w:val="0"/>
          <w:i w:val="0"/>
          <w:color w:val="0B2545"/>
          <w:sz w:val="19"/>
        </w:rPr>
        <w:t>Python Software Foundation. (2026). Python 3.13 documentation: Data structures. https://docs.python.org/3.13/tutorial/datastructures.html</w:t>
      </w:r>
    </w:p>
    <w:p>
      <w:pPr>
        <w:pStyle w:val="ListNumber"/>
        <w:spacing w:after="100" w:line="276" w:lineRule="auto"/>
        <w:ind w:left="504" w:hanging="360"/>
      </w:pPr>
      <w:r>
        <w:rPr>
          <w:rFonts w:ascii="Calibri" w:hAnsi="Calibri"/>
          <w:b w:val="0"/>
          <w:i w:val="0"/>
          <w:color w:val="0B2545"/>
          <w:sz w:val="19"/>
        </w:rPr>
        <w:t>ISO/IEC. (2020). ISO/IEC 14882:2020 Programming Languages - C++. International Organization for Standardization.</w:t>
      </w:r>
    </w:p>
    <w:p>
      <w:pPr>
        <w:pStyle w:val="Heading1"/>
        <w:keepNext/>
      </w:pPr>
      <w:r>
        <w:t>Appendix A. Reproducibility Record</w:t>
      </w:r>
    </w:p>
    <w:p>
      <w:pPr>
        <w:keepNext/>
        <w:spacing w:before="80" w:after="80" w:line="320" w:lineRule="auto"/>
      </w:pPr>
      <w:r>
        <w:rPr>
          <w:rFonts w:ascii="Calibri" w:hAnsi="Calibri"/>
          <w:b/>
          <w:i w:val="0"/>
          <w:color w:val="1F4D78"/>
          <w:sz w:val="19"/>
        </w:rPr>
        <w:t>Table A1. Repository evidence map.</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shd w:fill="2E74B5"/>
            <w:vAlign w:val="center"/>
            <w:tcMar>
              <w:top w:w="80" w:type="dxa"/>
              <w:start w:w="120" w:type="dxa"/>
              <w:bottom w:w="80" w:type="dxa"/>
              <w:end w:w="120" w:type="dxa"/>
            </w:tcMar>
          </w:tcPr>
          <w:p>
            <w:pPr>
              <w:spacing w:after="0"/>
              <w:jc w:val="center"/>
            </w:pPr>
            <w:r>
              <w:rPr>
                <w:rFonts w:ascii="Calibri" w:hAnsi="Calibri"/>
                <w:b/>
                <w:i w:val="0"/>
                <w:color w:val="FFFFFF"/>
                <w:sz w:val="18"/>
              </w:rPr>
              <w:t>Evidence</w:t>
            </w:r>
          </w:p>
        </w:tc>
        <w:tc>
          <w:tcPr>
            <w:tcW w:type="dxa" w:w="6360"/>
            <w:shd w:fill="2E74B5"/>
            <w:vAlign w:val="center"/>
            <w:tcMar>
              <w:top w:w="80" w:type="dxa"/>
              <w:start w:w="120" w:type="dxa"/>
              <w:bottom w:w="80" w:type="dxa"/>
              <w:end w:w="120" w:type="dxa"/>
            </w:tcMar>
          </w:tcPr>
          <w:p>
            <w:pPr>
              <w:spacing w:after="0"/>
              <w:jc w:val="center"/>
            </w:pPr>
            <w:r>
              <w:rPr>
                <w:rFonts w:ascii="Calibri" w:hAnsi="Calibri"/>
                <w:b/>
                <w:i w:val="0"/>
                <w:color w:val="FFFFFF"/>
                <w:sz w:val="18"/>
              </w:rPr>
              <w:t>Repository path</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Experiment configuration</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config/experiment.json</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Dataset manifest</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data/generated/manifest.json</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Raw measurements</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Environment metadata</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results/raw/environment.json</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Paper analysis</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paper/analyse_for_paper.py</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Correctness tests</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tests/test_benchmark.py; tests/test_dataset_manifest.py</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Construct-validity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results/raw/cpp_linked_fwd_combined.csv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Construct-validity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src/cpp/benchmark.cpp (run_linked_fwd)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E6B78"/>
        <w:sz w:val="17"/>
      </w:rPr>
      <w:t xml:space="preserve">Draft manuscript  |  Page </w:t>
    </w:r>
    <w:r>
      <w:rPr>
        <w:rFonts w:ascii="Calibri" w:hAnsi="Calibri"/>
        <w:b w:val="0"/>
        <w:i w:val="0"/>
        <w:color w:val="5E6B78"/>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i w:val="0"/>
        <w:color w:val="5E6B78"/>
        <w:sz w:val="17"/>
      </w:rPr>
      <w:t>BEYOND BIG-O  |  APPLE-SILICON PILOT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Apple-Silicon Runtime Pilot Study</dc:title>
  <dc:subject>Reproducible empirical comparison of data-structure runtime in Python and C++</dc:subject>
  <dc:creator>Mahesh Patil and Student Research Team</dc:creator>
  <cp:keywords>Big-O, data structures, runtime, Python, C++, Apple M2, reproducibility</cp:keywords>
  <dc:description>Draft generated from executed Mac measurements; requires author and journal-specific review.</dc:description>
  <cp:lastModifiedBy/>
  <cp:revision>1</cp:revision>
  <dcterms:created xsi:type="dcterms:W3CDTF">2013-12-23T23:15:00Z</dcterms:created>
  <dcterms:modified xsi:type="dcterms:W3CDTF">2013-12-23T23:15:00Z</dcterms:modified>
  <cp:category/>
</cp:coreProperties>
</file>