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0416A" w14:textId="77777777" w:rsidR="000A5904" w:rsidRDefault="00000000">
      <w:pPr>
        <w:pStyle w:val="Title"/>
        <w:jc w:val="center"/>
      </w:pPr>
      <w:r>
        <w:t>Bank Policy Framework Document</w:t>
      </w:r>
    </w:p>
    <w:p w14:paraId="128A69C2" w14:textId="567C414D" w:rsidR="000A5904" w:rsidRDefault="00000000">
      <w:r>
        <w:t>Version: 1.0</w:t>
      </w:r>
      <w:r>
        <w:br/>
        <w:t xml:space="preserve">Effective Date: </w:t>
      </w:r>
      <w:r w:rsidR="00F81C81">
        <w:t>15/12/2025</w:t>
      </w:r>
      <w:r>
        <w:br/>
        <w:t>Approved By: Board of Directors</w:t>
      </w:r>
      <w:r>
        <w:br/>
        <w:t>Review Cycle: Annual</w:t>
      </w:r>
    </w:p>
    <w:p w14:paraId="630800AE" w14:textId="77777777" w:rsidR="000A5904" w:rsidRDefault="00000000">
      <w:pPr>
        <w:pStyle w:val="Heading1"/>
      </w:pPr>
      <w:r>
        <w:t>Table of Contents</w:t>
      </w:r>
    </w:p>
    <w:p w14:paraId="450EFECF" w14:textId="77777777" w:rsidR="000A5904" w:rsidRDefault="00000000">
      <w:pPr>
        <w:pStyle w:val="ListNumber"/>
      </w:pPr>
      <w:r>
        <w:t>Governance and Foundational Policies</w:t>
      </w:r>
    </w:p>
    <w:p w14:paraId="6B521EBE" w14:textId="77777777" w:rsidR="000A5904" w:rsidRDefault="00000000">
      <w:pPr>
        <w:pStyle w:val="ListNumber"/>
      </w:pPr>
      <w:r>
        <w:t>Financial, Credit, and Asset Management Policies</w:t>
      </w:r>
    </w:p>
    <w:p w14:paraId="48724D2B" w14:textId="77777777" w:rsidR="000A5904" w:rsidRDefault="00000000">
      <w:pPr>
        <w:pStyle w:val="ListNumber"/>
      </w:pPr>
      <w:r>
        <w:t>Compliance and Security Policies</w:t>
      </w:r>
    </w:p>
    <w:p w14:paraId="6407450F" w14:textId="77777777" w:rsidR="000A5904" w:rsidRDefault="00000000">
      <w:pPr>
        <w:pStyle w:val="ListNumber"/>
      </w:pPr>
      <w:r>
        <w:t>Functional and Operational Policies</w:t>
      </w:r>
    </w:p>
    <w:p w14:paraId="05F13382" w14:textId="77777777" w:rsidR="000A5904" w:rsidRDefault="00000000">
      <w:pPr>
        <w:pStyle w:val="ListNumber"/>
      </w:pPr>
      <w:r>
        <w:t>Audit and Review Policies</w:t>
      </w:r>
    </w:p>
    <w:p w14:paraId="1151BAA7" w14:textId="77777777" w:rsidR="000A5904" w:rsidRDefault="00000000">
      <w:pPr>
        <w:pStyle w:val="Heading1"/>
      </w:pPr>
      <w:r>
        <w:t>I. Governance and Foundational Policies</w:t>
      </w:r>
    </w:p>
    <w:p w14:paraId="07724388" w14:textId="77777777" w:rsidR="000A5904" w:rsidRDefault="00000000">
      <w:pPr>
        <w:pStyle w:val="Heading2"/>
      </w:pPr>
      <w:r>
        <w:t>A. Board and Management Oversight</w:t>
      </w:r>
    </w:p>
    <w:p w14:paraId="459567FC" w14:textId="77777777" w:rsidR="000A5904" w:rsidRDefault="00000000">
      <w:pPr>
        <w:pStyle w:val="ListBullet"/>
      </w:pPr>
      <w:r>
        <w:t>Corporate Governance Policy: Defines roles, responsibilities, and structure of the Board and executive management.</w:t>
      </w:r>
    </w:p>
    <w:p w14:paraId="0FC31580" w14:textId="77777777" w:rsidR="000A5904" w:rsidRDefault="00000000">
      <w:pPr>
        <w:pStyle w:val="ListBullet"/>
      </w:pPr>
      <w:r>
        <w:t>Committee Charters: Detailed charters for Audit, Risk, and Compensation Committees.</w:t>
      </w:r>
    </w:p>
    <w:p w14:paraId="4A1C9901" w14:textId="77777777" w:rsidR="000A5904" w:rsidRDefault="00000000">
      <w:pPr>
        <w:pStyle w:val="ListBullet"/>
      </w:pPr>
      <w:r>
        <w:t>Management Succession Planning: Procedures for leadership continuity.</w:t>
      </w:r>
    </w:p>
    <w:p w14:paraId="46269C78" w14:textId="77777777" w:rsidR="000A5904" w:rsidRDefault="00000000">
      <w:pPr>
        <w:pStyle w:val="Heading2"/>
      </w:pPr>
      <w:r>
        <w:t>B. Ethics, Conduct, and Compliance Culture</w:t>
      </w:r>
    </w:p>
    <w:p w14:paraId="524D9104" w14:textId="77777777" w:rsidR="000A5904" w:rsidRDefault="00000000">
      <w:pPr>
        <w:pStyle w:val="ListBullet"/>
      </w:pPr>
      <w:r>
        <w:t>Code of Conduct and Ethics Policy: Standards for professional behavior and integrity.</w:t>
      </w:r>
    </w:p>
    <w:p w14:paraId="04C1361A" w14:textId="77777777" w:rsidR="000A5904" w:rsidRDefault="00000000">
      <w:pPr>
        <w:pStyle w:val="ListBullet"/>
      </w:pPr>
      <w:r>
        <w:t>Conflict of Interest Policy: Rules on personal investments and vendor dealings.</w:t>
      </w:r>
    </w:p>
    <w:p w14:paraId="0345294A" w14:textId="77777777" w:rsidR="000A5904" w:rsidRDefault="00000000">
      <w:pPr>
        <w:pStyle w:val="ListBullet"/>
      </w:pPr>
      <w:r>
        <w:t>Whistleblower Protection Policy: Confidential reporting and non-retaliation assurance.</w:t>
      </w:r>
    </w:p>
    <w:p w14:paraId="0F4DA4F2" w14:textId="77777777" w:rsidR="000A5904" w:rsidRDefault="00000000">
      <w:pPr>
        <w:pStyle w:val="ListBullet"/>
      </w:pPr>
      <w:r>
        <w:t>Regulatory Compliance Program Policy: Structure and authority of compliance function.</w:t>
      </w:r>
    </w:p>
    <w:p w14:paraId="30BDA013" w14:textId="77777777" w:rsidR="000A5904" w:rsidRDefault="00000000">
      <w:pPr>
        <w:pStyle w:val="Heading2"/>
      </w:pPr>
      <w:r>
        <w:t>C. Enterprise Risk Management (ERM)</w:t>
      </w:r>
    </w:p>
    <w:p w14:paraId="75B2C04E" w14:textId="77777777" w:rsidR="000A5904" w:rsidRDefault="00000000">
      <w:pPr>
        <w:pStyle w:val="ListBullet"/>
      </w:pPr>
      <w:r>
        <w:t>ERM Framework and Policy: Approach to identifying and managing risks.</w:t>
      </w:r>
    </w:p>
    <w:p w14:paraId="65887482" w14:textId="77777777" w:rsidR="000A5904" w:rsidRDefault="00000000">
      <w:pPr>
        <w:pStyle w:val="ListBullet"/>
      </w:pPr>
      <w:r>
        <w:t>Risk Appetite Statement (RAS): Defines acceptable risk levels.</w:t>
      </w:r>
    </w:p>
    <w:p w14:paraId="3EEA88F3" w14:textId="77777777" w:rsidR="000A5904" w:rsidRDefault="00000000">
      <w:pPr>
        <w:pStyle w:val="ListBullet"/>
      </w:pPr>
      <w:r>
        <w:t>Stress Testing Policy: Methodologies for adverse scenario analysis.</w:t>
      </w:r>
    </w:p>
    <w:p w14:paraId="4694B76E" w14:textId="77777777" w:rsidR="000A5904" w:rsidRDefault="00000000">
      <w:pPr>
        <w:pStyle w:val="Heading1"/>
      </w:pPr>
      <w:r>
        <w:lastRenderedPageBreak/>
        <w:t>II. Financial, Credit, and Asset Management Policies</w:t>
      </w:r>
    </w:p>
    <w:p w14:paraId="524DD90B" w14:textId="77777777" w:rsidR="000A5904" w:rsidRDefault="00000000">
      <w:pPr>
        <w:pStyle w:val="Heading2"/>
      </w:pPr>
      <w:r>
        <w:t>A. Asset/Liability Management (ALM) and Liquidity</w:t>
      </w:r>
    </w:p>
    <w:p w14:paraId="0F8C4BEC" w14:textId="77777777" w:rsidR="000A5904" w:rsidRDefault="00000000">
      <w:pPr>
        <w:pStyle w:val="ListBullet"/>
      </w:pPr>
      <w:r>
        <w:t>Liquidity Risk Management Policy: Limits, metrics (LCR, NSFR), and stress testing.</w:t>
      </w:r>
    </w:p>
    <w:p w14:paraId="144956CF" w14:textId="77777777" w:rsidR="000A5904" w:rsidRDefault="00000000">
      <w:pPr>
        <w:pStyle w:val="ListBullet"/>
      </w:pPr>
      <w:r>
        <w:t>Contingency Funding Plan (CFP): Crisis liquidity strategies.</w:t>
      </w:r>
    </w:p>
    <w:p w14:paraId="5C93EDE8" w14:textId="77777777" w:rsidR="000A5904" w:rsidRDefault="00000000">
      <w:pPr>
        <w:pStyle w:val="ListBullet"/>
      </w:pPr>
      <w:r>
        <w:t>Interest Rate Risk Policy: Measurement and mitigation strategies.</w:t>
      </w:r>
    </w:p>
    <w:p w14:paraId="321ACBA7" w14:textId="77777777" w:rsidR="000A5904" w:rsidRDefault="00000000">
      <w:pPr>
        <w:pStyle w:val="Heading2"/>
      </w:pPr>
      <w:r>
        <w:t>B. Credit and Lending Policies</w:t>
      </w:r>
    </w:p>
    <w:p w14:paraId="49038E7F" w14:textId="77777777" w:rsidR="000A5904" w:rsidRDefault="00000000">
      <w:pPr>
        <w:pStyle w:val="ListBullet"/>
      </w:pPr>
      <w:r>
        <w:t>Credit Underwriting Policy: Standards for borrower eligibility and collateral.</w:t>
      </w:r>
    </w:p>
    <w:p w14:paraId="287E8D42" w14:textId="77777777" w:rsidR="000A5904" w:rsidRDefault="00000000">
      <w:pPr>
        <w:pStyle w:val="ListBullet"/>
      </w:pPr>
      <w:r>
        <w:t>Loan Approval Authority Matrix: Approval hierarchy based on risk and size.</w:t>
      </w:r>
    </w:p>
    <w:p w14:paraId="19FDDEC4" w14:textId="77777777" w:rsidR="000A5904" w:rsidRDefault="00000000">
      <w:pPr>
        <w:pStyle w:val="ListBullet"/>
      </w:pPr>
      <w:r>
        <w:t>Loan Review and Grading Policy: Portfolio quality assessment.</w:t>
      </w:r>
    </w:p>
    <w:p w14:paraId="3B57CB1D" w14:textId="77777777" w:rsidR="000A5904" w:rsidRDefault="00000000">
      <w:pPr>
        <w:pStyle w:val="ListBullet"/>
      </w:pPr>
      <w:r>
        <w:t>Allowance for Loan Losses (ALLL)/CECL: Reserve calculation methodology.</w:t>
      </w:r>
    </w:p>
    <w:p w14:paraId="3217DD12" w14:textId="77777777" w:rsidR="000A5904" w:rsidRDefault="00000000">
      <w:pPr>
        <w:pStyle w:val="Heading2"/>
      </w:pPr>
      <w:r>
        <w:t>C. Treasury and Investment Management</w:t>
      </w:r>
    </w:p>
    <w:p w14:paraId="5888C498" w14:textId="77777777" w:rsidR="000A5904" w:rsidRDefault="00000000">
      <w:pPr>
        <w:pStyle w:val="ListBullet"/>
      </w:pPr>
      <w:r>
        <w:t>Investment Portfolio Policy: Objectives, duration, and concentration limits.</w:t>
      </w:r>
    </w:p>
    <w:p w14:paraId="11EAD8E2" w14:textId="77777777" w:rsidR="000A5904" w:rsidRDefault="00000000">
      <w:pPr>
        <w:pStyle w:val="ListBullet"/>
      </w:pPr>
      <w:r>
        <w:t>Securities Trading Policy: Execution and safeguarding of transactions.</w:t>
      </w:r>
    </w:p>
    <w:p w14:paraId="798F0B86" w14:textId="77777777" w:rsidR="000A5904" w:rsidRDefault="00000000">
      <w:pPr>
        <w:pStyle w:val="Heading1"/>
      </w:pPr>
      <w:r>
        <w:t>III. Compliance and Security Policies</w:t>
      </w:r>
    </w:p>
    <w:p w14:paraId="7FBA0112" w14:textId="77777777" w:rsidR="000A5904" w:rsidRDefault="00000000">
      <w:pPr>
        <w:pStyle w:val="Heading2"/>
      </w:pPr>
      <w:r>
        <w:t>A. BSA/AML and Sanctions</w:t>
      </w:r>
    </w:p>
    <w:p w14:paraId="1DC8173D" w14:textId="77777777" w:rsidR="000A5904" w:rsidRDefault="00000000">
      <w:pPr>
        <w:pStyle w:val="ListBullet"/>
      </w:pPr>
      <w:r>
        <w:t>BSA/AML Compliance Program Policy: Mandatory training and compliance framework.</w:t>
      </w:r>
    </w:p>
    <w:p w14:paraId="203030D7" w14:textId="77777777" w:rsidR="000A5904" w:rsidRDefault="00000000">
      <w:pPr>
        <w:pStyle w:val="ListBullet"/>
      </w:pPr>
      <w:r>
        <w:t>Customer Identification Program (CIP): Identity verification procedures.</w:t>
      </w:r>
    </w:p>
    <w:p w14:paraId="73CE6BFD" w14:textId="77777777" w:rsidR="000A5904" w:rsidRDefault="00000000">
      <w:pPr>
        <w:pStyle w:val="ListBullet"/>
      </w:pPr>
      <w:r>
        <w:t>Customer Due Diligence (CDD/EDD): Risk assessment standards.</w:t>
      </w:r>
    </w:p>
    <w:p w14:paraId="5111B87A" w14:textId="77777777" w:rsidR="000A5904" w:rsidRDefault="00000000">
      <w:pPr>
        <w:pStyle w:val="ListBullet"/>
      </w:pPr>
      <w:r>
        <w:t>Sanctions Compliance (OFAC): Screening protocols.</w:t>
      </w:r>
    </w:p>
    <w:p w14:paraId="2FDF0BFE" w14:textId="77777777" w:rsidR="000A5904" w:rsidRDefault="00000000">
      <w:pPr>
        <w:pStyle w:val="Heading2"/>
      </w:pPr>
      <w:r>
        <w:t>B. Information Technology and Cybersecurity</w:t>
      </w:r>
    </w:p>
    <w:p w14:paraId="1ADBE9CA" w14:textId="77777777" w:rsidR="000A5904" w:rsidRDefault="00000000">
      <w:pPr>
        <w:pStyle w:val="ListBullet"/>
      </w:pPr>
      <w:r>
        <w:t>Information Security Policy: Confidentiality, integrity, and availability standards.</w:t>
      </w:r>
    </w:p>
    <w:p w14:paraId="01A4AE0C" w14:textId="77777777" w:rsidR="000A5904" w:rsidRDefault="00000000">
      <w:pPr>
        <w:pStyle w:val="ListBullet"/>
      </w:pPr>
      <w:r>
        <w:t>Access Control Policy: User access management.</w:t>
      </w:r>
    </w:p>
    <w:p w14:paraId="25B5B6A9" w14:textId="77777777" w:rsidR="000A5904" w:rsidRDefault="00000000">
      <w:pPr>
        <w:pStyle w:val="ListBullet"/>
      </w:pPr>
      <w:r>
        <w:t>Patch Management Policy: Security update procedures.</w:t>
      </w:r>
    </w:p>
    <w:p w14:paraId="472D42FE" w14:textId="77777777" w:rsidR="000A5904" w:rsidRDefault="00000000">
      <w:pPr>
        <w:pStyle w:val="ListBullet"/>
      </w:pPr>
      <w:r>
        <w:t>Third-Party Risk Management Policy: Vendor vetting and monitoring.</w:t>
      </w:r>
    </w:p>
    <w:p w14:paraId="2E6FE833" w14:textId="77777777" w:rsidR="000A5904" w:rsidRDefault="00000000">
      <w:pPr>
        <w:pStyle w:val="ListBullet"/>
      </w:pPr>
      <w:r>
        <w:t>Transaction Reliability Overview: Measures to prevent authorization errors, refund failures, and delayed transactions.</w:t>
      </w:r>
    </w:p>
    <w:p w14:paraId="162BA720" w14:textId="77777777" w:rsidR="000A5904" w:rsidRDefault="00000000">
      <w:pPr>
        <w:pStyle w:val="Heading2"/>
      </w:pPr>
      <w:r>
        <w:t>C. Data Privacy and Operational Resilience</w:t>
      </w:r>
    </w:p>
    <w:p w14:paraId="23B72BC0" w14:textId="77777777" w:rsidR="000A5904" w:rsidRDefault="00000000">
      <w:pPr>
        <w:pStyle w:val="ListBullet"/>
      </w:pPr>
      <w:r>
        <w:t>Data Privacy Policy: NPPI handling and disposal guidelines.</w:t>
      </w:r>
    </w:p>
    <w:p w14:paraId="45163646" w14:textId="77777777" w:rsidR="000A5904" w:rsidRDefault="00000000">
      <w:pPr>
        <w:pStyle w:val="ListBullet"/>
      </w:pPr>
      <w:r>
        <w:lastRenderedPageBreak/>
        <w:t>Business Continuity and Disaster Recovery Policy: Operational resilience framework.</w:t>
      </w:r>
    </w:p>
    <w:p w14:paraId="002CE6E3" w14:textId="77777777" w:rsidR="000A5904" w:rsidRDefault="00000000">
      <w:pPr>
        <w:pStyle w:val="ListBullet"/>
      </w:pPr>
      <w:r>
        <w:t>Fraud Prevention Overview: Multi-factor authentication, phishing alerts, and unauthorized transaction protocols.</w:t>
      </w:r>
    </w:p>
    <w:p w14:paraId="55A24291" w14:textId="77777777" w:rsidR="000A5904" w:rsidRDefault="00000000">
      <w:pPr>
        <w:pStyle w:val="Heading1"/>
      </w:pPr>
      <w:r>
        <w:t>IV. Functional and Operational Policies</w:t>
      </w:r>
    </w:p>
    <w:p w14:paraId="4CE0A60B" w14:textId="77777777" w:rsidR="000A5904" w:rsidRDefault="00000000">
      <w:pPr>
        <w:pStyle w:val="Heading2"/>
      </w:pPr>
      <w:r>
        <w:t>A. Human Resources</w:t>
      </w:r>
    </w:p>
    <w:p w14:paraId="614ED567" w14:textId="77777777" w:rsidR="000A5904" w:rsidRDefault="00000000">
      <w:pPr>
        <w:pStyle w:val="ListBullet"/>
      </w:pPr>
      <w:r>
        <w:t>Recruitment and Termination Policy: Fair employment and background checks.</w:t>
      </w:r>
    </w:p>
    <w:p w14:paraId="285DAF5B" w14:textId="77777777" w:rsidR="000A5904" w:rsidRDefault="00000000">
      <w:pPr>
        <w:pStyle w:val="ListBullet"/>
      </w:pPr>
      <w:r>
        <w:t>Compensation and Benefits Policy: Salary and benefits administration.</w:t>
      </w:r>
    </w:p>
    <w:p w14:paraId="2D1CEEDB" w14:textId="77777777" w:rsidR="000A5904" w:rsidRDefault="00000000">
      <w:pPr>
        <w:pStyle w:val="ListBullet"/>
      </w:pPr>
      <w:r>
        <w:t>Training Policy: Mandatory role-specific training.</w:t>
      </w:r>
    </w:p>
    <w:p w14:paraId="4A041542" w14:textId="77777777" w:rsidR="000A5904" w:rsidRDefault="00000000">
      <w:pPr>
        <w:pStyle w:val="Heading2"/>
      </w:pPr>
      <w:r>
        <w:t>B. Deposit Operations and Payments</w:t>
      </w:r>
    </w:p>
    <w:p w14:paraId="19B06CAE" w14:textId="77777777" w:rsidR="000A5904" w:rsidRDefault="00000000">
      <w:pPr>
        <w:pStyle w:val="ListBullet"/>
      </w:pPr>
      <w:r>
        <w:t>Deposit Account Policy: Account opening and maintenance procedures.</w:t>
      </w:r>
    </w:p>
    <w:p w14:paraId="204611AD" w14:textId="77777777" w:rsidR="000A5904" w:rsidRDefault="00000000">
      <w:pPr>
        <w:pStyle w:val="ListBullet"/>
      </w:pPr>
      <w:r>
        <w:t>Funds Transfer Policy (ACH/Wire): Security and verification steps.</w:t>
      </w:r>
    </w:p>
    <w:p w14:paraId="3B20D1BF" w14:textId="77777777" w:rsidR="000A5904" w:rsidRDefault="00000000">
      <w:pPr>
        <w:pStyle w:val="ListBullet"/>
      </w:pPr>
      <w:r>
        <w:t>Teller and Cash Handling Policy: Cash balancing and vault management.</w:t>
      </w:r>
    </w:p>
    <w:p w14:paraId="751B5331" w14:textId="77777777" w:rsidR="000A5904" w:rsidRDefault="00000000">
      <w:pPr>
        <w:pStyle w:val="ListBullet"/>
      </w:pPr>
      <w:r>
        <w:t>Transaction Error Management Overview: Failed Transactions, Double Deductions, Cancellation Issues.</w:t>
      </w:r>
    </w:p>
    <w:p w14:paraId="34537198" w14:textId="77777777" w:rsidR="000A5904" w:rsidRDefault="00000000">
      <w:pPr>
        <w:pStyle w:val="Heading2"/>
      </w:pPr>
      <w:r>
        <w:t>C. Customer Interaction and Service</w:t>
      </w:r>
    </w:p>
    <w:p w14:paraId="00399230" w14:textId="77777777" w:rsidR="000A5904" w:rsidRDefault="00000000">
      <w:pPr>
        <w:pStyle w:val="ListBullet"/>
      </w:pPr>
      <w:r>
        <w:t>Complaint Management Policy: Logging, investigation, and resolution standards.</w:t>
      </w:r>
    </w:p>
    <w:p w14:paraId="3BA9F73B" w14:textId="77777777" w:rsidR="000A5904" w:rsidRDefault="00000000">
      <w:pPr>
        <w:pStyle w:val="ListBullet"/>
      </w:pPr>
      <w:r>
        <w:t>Marketing and Advertising Policy: Compliance with consumer protection laws.</w:t>
      </w:r>
    </w:p>
    <w:p w14:paraId="027E6A54" w14:textId="77777777" w:rsidR="000A5904" w:rsidRDefault="00000000">
      <w:pPr>
        <w:pStyle w:val="ListBullet"/>
      </w:pPr>
      <w:r>
        <w:t>Refund/Reversal Overview: SLA for delayed refunds and wrong account credits.</w:t>
      </w:r>
    </w:p>
    <w:p w14:paraId="46C1DCDA" w14:textId="77777777" w:rsidR="000A5904" w:rsidRDefault="00000000">
      <w:pPr>
        <w:pStyle w:val="ListBullet"/>
      </w:pPr>
      <w:r>
        <w:t>Account Lockout Policy: Secure and rapid unlock processes.</w:t>
      </w:r>
    </w:p>
    <w:p w14:paraId="164263DA" w14:textId="77777777" w:rsidR="000A5904" w:rsidRDefault="00000000">
      <w:pPr>
        <w:pStyle w:val="Heading1"/>
      </w:pPr>
      <w:r>
        <w:t>V. Audit and Review Policies</w:t>
      </w:r>
    </w:p>
    <w:p w14:paraId="0BFD65B6" w14:textId="77777777" w:rsidR="000A5904" w:rsidRDefault="00000000">
      <w:pPr>
        <w:pStyle w:val="ListBullet"/>
      </w:pPr>
      <w:r>
        <w:t>Internal Audit Charter: Scope and risk-based methodology.</w:t>
      </w:r>
    </w:p>
    <w:p w14:paraId="13339D7C" w14:textId="77777777" w:rsidR="000A5904" w:rsidRDefault="00000000">
      <w:pPr>
        <w:pStyle w:val="ListBullet"/>
      </w:pPr>
      <w:r>
        <w:t>External Audit Policy: Coordination with independent auditors.</w:t>
      </w:r>
    </w:p>
    <w:p w14:paraId="3E2D5186" w14:textId="77777777" w:rsidR="000A5904" w:rsidRDefault="00000000">
      <w:pPr>
        <w:pStyle w:val="ListBullet"/>
      </w:pPr>
      <w:r>
        <w:t>Regulatory Compliance Oversight: Enforcement of regulatory limits, SLA for KYC/Verification processes, RBI Complaint escalation and resolution framework.</w:t>
      </w:r>
    </w:p>
    <w:p w14:paraId="6B9D5359" w14:textId="77777777" w:rsidR="000A5904" w:rsidRDefault="00000000">
      <w:pPr>
        <w:pStyle w:val="Heading1"/>
      </w:pPr>
      <w:r>
        <w:t>Appendices</w:t>
      </w:r>
    </w:p>
    <w:p w14:paraId="0D937D17" w14:textId="77777777" w:rsidR="000A5904" w:rsidRDefault="00000000">
      <w:pPr>
        <w:pStyle w:val="ListBullet"/>
      </w:pPr>
      <w:r>
        <w:t>Glossary of Terms</w:t>
      </w:r>
    </w:p>
    <w:p w14:paraId="6E32834A" w14:textId="77777777" w:rsidR="000A5904" w:rsidRDefault="00000000">
      <w:pPr>
        <w:pStyle w:val="ListBullet"/>
      </w:pPr>
      <w:r>
        <w:t>Regulatory References (RBI, SEBI, etc.)</w:t>
      </w:r>
    </w:p>
    <w:p w14:paraId="22E3A6F8" w14:textId="77777777" w:rsidR="000A5904" w:rsidRDefault="00000000">
      <w:pPr>
        <w:pStyle w:val="ListBullet"/>
      </w:pPr>
      <w:r>
        <w:t>Contact Information for Compliance and Risk Teams</w:t>
      </w:r>
    </w:p>
    <w:sectPr w:rsidR="000A59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0A5904"/>
    <w:rsid w:val="001F40EA"/>
    <w:rsid w:val="002E51AB"/>
    <w:rsid w:val="00324B44"/>
    <w:rsid w:val="0036562D"/>
    <w:rsid w:val="004976E0"/>
    <w:rsid w:val="005A534A"/>
    <w:rsid w:val="00827C87"/>
    <w:rsid w:val="009955B2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E169A4"/>
    <w:rsid w:val="00F81C81"/>
    <w:rsid w:val="00FB3270"/>
    <w:rsid w:val="00FC4B07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05C9B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547</Words>
  <Characters>4006</Characters>
  <Application>Microsoft Office Word</Application>
  <DocSecurity>0</DocSecurity>
  <Lines>84</Lines>
  <Paragraphs>74</Paragraphs>
  <ScaleCrop>false</ScaleCrop>
  <Company/>
  <LinksUpToDate>false</LinksUpToDate>
  <CharactersWithSpaces>4527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Kollapu, Nikhil Kumar (Cognizant)</cp:lastModifiedBy>
  <cp:revision>4</cp:revision>
  <dcterms:created xsi:type="dcterms:W3CDTF">2025-06-25T20:44:00Z</dcterms:created>
  <dcterms:modified xsi:type="dcterms:W3CDTF">2026-01-30T10:50:00Z</dcterms:modified>
</cp:coreProperties>
</file>