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Calibri" w:cs="Calibri" w:eastAsia="Calibri" w:hAnsi="Calibri"/>
          <w:b/>
          <w:bCs/>
          <w:color w:val="1B2A4A"/>
          <w:sz w:val="52"/>
          <w:szCs w:val="52"/>
        </w:rPr>
        <w:t xml:space="preserve">ZSD-PROD Oracle Database</w:t>
      </w:r>
    </w:p>
    <w:p>
      <w:pPr>
        <w:spacing w:before="0" w:after="60"/>
        <w:jc w:val="center"/>
      </w:pPr>
      <w:r>
        <w:rPr>
          <w:rFonts w:ascii="Calibri" w:cs="Calibri" w:eastAsia="Calibri" w:hAnsi="Calibri"/>
          <w:b/>
          <w:bCs/>
          <w:color w:val="1D4ED8"/>
          <w:sz w:val="32"/>
          <w:szCs w:val="32"/>
        </w:rPr>
        <w:t xml:space="preserve">Recovery Time Objective (RTO) — Establishment &amp; Evidence</w:t>
      </w:r>
    </w:p>
    <w:p>
      <w:pPr>
        <w:spacing w:before="0" w:after="260"/>
        <w:jc w:val="center"/>
      </w:pPr>
      <w:r>
        <w:rPr>
          <w:rFonts w:ascii="Calibri" w:cs="Calibri" w:eastAsia="Calibri" w:hAnsi="Calibri"/>
          <w:i/>
          <w:iCs/>
          <w:color w:val="475569"/>
          <w:sz w:val="21"/>
          <w:szCs w:val="21"/>
        </w:rPr>
        <w:t xml:space="preserve">Audit Remediation Response  |  MRA-002  |  Cohesity DataProtect</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tblGrid>
      <w:tr>
        <w:tc>
          <w:tcPr>
            <w:tcW w:type="dxa" w:w="23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Audit Finding</w:t>
            </w:r>
          </w:p>
        </w:tc>
        <w:tc>
          <w:tcPr>
            <w:tcW w:type="dxa" w:w="3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MRA-002 — Establish RTOs for Cyber Event Recovery</w:t>
            </w:r>
          </w:p>
        </w:tc>
      </w:tr>
      <w:tr>
        <w:tc>
          <w:tcPr>
            <w:tcW w:type="dxa" w:w="2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Database in Scope</w:t>
            </w:r>
          </w:p>
        </w:tc>
        <w:tc>
          <w:tcPr>
            <w:tcW w:type="dxa" w:w="3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ZSD-PROD (Oracle 19c)</w:t>
            </w:r>
          </w:p>
        </w:tc>
      </w:tr>
      <w:tr>
        <w:tc>
          <w:tcPr>
            <w:tcW w:type="dxa" w:w="23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Database Size</w:t>
            </w:r>
          </w:p>
        </w:tc>
        <w:tc>
          <w:tcPr>
            <w:tcW w:type="dxa" w:w="3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200 TB (Production)</w:t>
            </w:r>
          </w:p>
        </w:tc>
      </w:tr>
      <w:tr>
        <w:tc>
          <w:tcPr>
            <w:tcW w:type="dxa" w:w="2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Backup Platform</w:t>
            </w:r>
          </w:p>
        </w:tc>
        <w:tc>
          <w:tcPr>
            <w:tcW w:type="dxa" w:w="3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Cohesity DataProtect</w:t>
            </w:r>
          </w:p>
        </w:tc>
      </w:tr>
      <w:tr>
        <w:tc>
          <w:tcPr>
            <w:tcW w:type="dxa" w:w="23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Backup Policy</w:t>
            </w:r>
          </w:p>
        </w:tc>
        <w:tc>
          <w:tcPr>
            <w:tcW w:type="dxa" w:w="3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Weekly Full / Daily Incremental / Hourly Log</w:t>
            </w:r>
          </w:p>
        </w:tc>
      </w:tr>
      <w:tr>
        <w:tc>
          <w:tcPr>
            <w:tcW w:type="dxa" w:w="2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RTO Target (Assumed)</w:t>
            </w:r>
          </w:p>
        </w:tc>
        <w:tc>
          <w:tcPr>
            <w:tcW w:type="dxa" w:w="3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12 Hours — Tier 1 Tiered Recovery</w:t>
            </w:r>
          </w:p>
        </w:tc>
      </w:tr>
      <w:tr>
        <w:tc>
          <w:tcPr>
            <w:tcW w:type="dxa" w:w="23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RPO Target</w:t>
            </w:r>
          </w:p>
        </w:tc>
        <w:tc>
          <w:tcPr>
            <w:tcW w:type="dxa" w:w="3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1 Hour</w:t>
            </w:r>
          </w:p>
        </w:tc>
      </w:tr>
      <w:tr>
        <w:tc>
          <w:tcPr>
            <w:tcW w:type="dxa" w:w="2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Document Status</w:t>
            </w:r>
          </w:p>
        </w:tc>
        <w:tc>
          <w:tcPr>
            <w:tcW w:type="dxa" w:w="3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DRAFT — Pending Business Sign-Off</w:t>
            </w:r>
          </w:p>
        </w:tc>
      </w:tr>
      <w:tr>
        <w:tc>
          <w:tcPr>
            <w:tcW w:type="dxa" w:w="23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Version</w:t>
            </w:r>
          </w:p>
        </w:tc>
        <w:tc>
          <w:tcPr>
            <w:tcW w:type="dxa" w:w="3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1.0</w:t>
            </w:r>
          </w:p>
        </w:tc>
      </w:tr>
    </w:tbl>
    <w:p>
      <w:pPr>
        <w:spacing w:before="260" w:after="0"/>
      </w:pPr>
      <w:r>
        <w:t xml:space="preserve"/>
      </w:r>
    </w:p>
    <w:p>
      <w:pPr>
        <w:pBdr>
          <w:left w:val="single" w:color="1D4ED8" w:sz="14" w:space="5"/>
        </w:pBdr>
        <w:shd w:fill="DBEAFE" w:val="clear"/>
        <w:spacing w:before="70" w:after="70"/>
        <w:ind w:left="160" w:right="160"/>
      </w:pPr>
      <w:r>
        <w:rPr>
          <w:rFonts w:ascii="Calibri" w:cs="Calibri" w:eastAsia="Calibri" w:hAnsi="Calibri"/>
          <w:i/>
          <w:iCs/>
          <w:color w:val="1E293B"/>
          <w:sz w:val="19"/>
          <w:szCs w:val="19"/>
        </w:rPr>
        <w:t xml:space="preserve">This document is prepared in direct response to Audit Remediation Action MRA-002, which requires the DBA team to formally establish, test, and document RTOs for ZSD Oracle databases as the basis for backup and recovery requirements in a cyber event scenario.</w:t>
      </w:r>
    </w:p>
    <w:p>
      <w:r>
        <w:br w:type="page"/>
      </w:r>
    </w:p>
    <w:p>
      <w:pPr>
        <w:pStyle w:val="Heading1"/>
        <w:pBdr>
          <w:bottom w:val="single" w:color="1D4ED8" w:sz="6" w:space="1"/>
        </w:pBdr>
        <w:spacing w:before="200" w:after="80"/>
      </w:pPr>
      <w:r>
        <w:rPr>
          <w:rFonts w:ascii="Calibri" w:cs="Calibri" w:eastAsia="Calibri" w:hAnsi="Calibri"/>
          <w:b/>
          <w:bCs/>
          <w:color w:val="1B2A4A"/>
          <w:sz w:val="26"/>
          <w:szCs w:val="26"/>
        </w:rPr>
        <w:t xml:space="preserve">1. Audit Finding &amp; Remediation Summary</w:t>
      </w:r>
    </w:p>
    <w:p>
      <w:pPr>
        <w:spacing w:before="50" w:after="50"/>
      </w:pPr>
      <w:r>
        <w:rPr>
          <w:rFonts w:ascii="Calibri" w:cs="Calibri" w:eastAsia="Calibri" w:hAnsi="Calibri"/>
          <w:b w:val="false"/>
          <w:bCs w:val="false"/>
          <w:color w:val="1E293B"/>
          <w:sz w:val="20"/>
          <w:szCs w:val="20"/>
        </w:rPr>
        <w:t xml:space="preserve">The audit team (MRA-002) identified that Recovery Time Objectives had not been formally established for ZSD Oracle databases. This document provides the formal remediation response covering all three required actions:</w:t>
      </w:r>
    </w:p>
    <w:p>
      <w:pPr>
        <w:spacing w:before="60" w:after="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80"/>
        <w:gridCol w:w="2220"/>
        <w:gridCol w:w="4524"/>
        <w:gridCol w:w="3100"/>
      </w:tblGrid>
      <w:tr>
        <w:tc>
          <w:tcPr>
            <w:tcW w:type="dxa" w:w="38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
            </w:r>
          </w:p>
        </w:tc>
        <w:tc>
          <w:tcPr>
            <w:tcW w:type="dxa" w:w="222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Required Action</w:t>
            </w:r>
          </w:p>
        </w:tc>
        <w:tc>
          <w:tcPr>
            <w:tcW w:type="dxa" w:w="45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Audit Expectation</w:t>
            </w:r>
          </w:p>
        </w:tc>
        <w:tc>
          <w:tcPr>
            <w:tcW w:type="dxa" w:w="31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Addressed In</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1</w:t>
            </w:r>
          </w:p>
        </w:tc>
        <w:tc>
          <w:tcPr>
            <w:tcW w:type="dxa" w:w="222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Business Impact Analysis</w:t>
            </w:r>
          </w:p>
        </w:tc>
        <w:tc>
          <w:tcPr>
            <w:tcW w:type="dxa" w:w="45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Collaborate with business units to understand criticality of ZSD Oracle databases and the potential impact of downtime.</w:t>
            </w:r>
          </w:p>
        </w:tc>
        <w:tc>
          <w:tcPr>
            <w:tcW w:type="dxa" w:w="31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left"/>
            </w:pPr>
            <w:r>
              <w:rPr>
                <w:rFonts w:ascii="Calibri" w:cs="Calibri" w:eastAsia="Calibri" w:hAnsi="Calibri"/>
                <w:b w:val="false"/>
                <w:bCs w:val="false"/>
                <w:color w:val="166534"/>
                <w:sz w:val="19"/>
                <w:szCs w:val="19"/>
              </w:rPr>
              <w:t xml:space="preserve">Section 2 — BIA summary with criticality and business impact.</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2</w:t>
            </w:r>
          </w:p>
        </w:tc>
        <w:tc>
          <w:tcPr>
            <w:tcW w:type="dxa" w:w="222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Define RTOs</w:t>
            </w:r>
          </w:p>
        </w:tc>
        <w:tc>
          <w:tcPr>
            <w:tcW w:type="dxa" w:w="45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Determine maximum acceptable downtime per database before severe business impact occurs.</w:t>
            </w:r>
          </w:p>
        </w:tc>
        <w:tc>
          <w:tcPr>
            <w:tcW w:type="dxa" w:w="31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66534"/>
                <w:sz w:val="19"/>
                <w:szCs w:val="19"/>
              </w:rPr>
              <w:t xml:space="preserve">Section 3 — Formal RTO and RPO defined for ZSD-PROD.</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3</w:t>
            </w:r>
          </w:p>
        </w:tc>
        <w:tc>
          <w:tcPr>
            <w:tcW w:type="dxa" w:w="222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Document RTOs</w:t>
            </w:r>
          </w:p>
        </w:tc>
        <w:tc>
          <w:tcPr>
            <w:tcW w:type="dxa" w:w="45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Formally document agreed-upon RTOs aligned to business needs and backup/recovery strategy.</w:t>
            </w:r>
          </w:p>
        </w:tc>
        <w:tc>
          <w:tcPr>
            <w:tcW w:type="dxa" w:w="31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left"/>
            </w:pPr>
            <w:r>
              <w:rPr>
                <w:rFonts w:ascii="Calibri" w:cs="Calibri" w:eastAsia="Calibri" w:hAnsi="Calibri"/>
                <w:b w:val="false"/>
                <w:bCs w:val="false"/>
                <w:color w:val="166534"/>
                <w:sz w:val="19"/>
                <w:szCs w:val="19"/>
              </w:rPr>
              <w:t xml:space="preserve">Sections 3 &amp; 4 — RTOs documented with recovery test evidence.</w:t>
            </w:r>
          </w:p>
        </w:tc>
      </w:tr>
    </w:tbl>
    <w:p>
      <w:pPr>
        <w:spacing w:before="110" w:after="0"/>
      </w:pPr>
      <w:r>
        <w:t xml:space="preserve"/>
      </w:r>
    </w:p>
    <w:p>
      <w:pPr>
        <w:pStyle w:val="Heading1"/>
        <w:pBdr>
          <w:bottom w:val="single" w:color="1D4ED8" w:sz="6" w:space="1"/>
        </w:pBdr>
        <w:spacing w:before="200" w:after="80"/>
      </w:pPr>
      <w:r>
        <w:rPr>
          <w:rFonts w:ascii="Calibri" w:cs="Calibri" w:eastAsia="Calibri" w:hAnsi="Calibri"/>
          <w:b/>
          <w:bCs/>
          <w:color w:val="1B2A4A"/>
          <w:sz w:val="26"/>
          <w:szCs w:val="26"/>
        </w:rPr>
        <w:t xml:space="preserve">2. Business Impact Analysis (BIA) — ZSD-PROD</w:t>
      </w:r>
    </w:p>
    <w:p>
      <w:pPr>
        <w:spacing w:before="50" w:after="50"/>
      </w:pPr>
      <w:r>
        <w:rPr>
          <w:rFonts w:ascii="Calibri" w:cs="Calibri" w:eastAsia="Calibri" w:hAnsi="Calibri"/>
          <w:b w:val="false"/>
          <w:bCs w:val="false"/>
          <w:color w:val="1E293B"/>
          <w:sz w:val="20"/>
          <w:szCs w:val="20"/>
        </w:rPr>
        <w:t xml:space="preserve">The DBA team collaborated with business stakeholders to assess the criticality of ZSD-PROD and the operational and financial impact of extended downtime. These findings inform the RTO defined in Section 3.</w:t>
      </w:r>
    </w:p>
    <w:p>
      <w:pPr>
        <w:spacing w:before="70" w:after="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BIA Dimension</w:t>
            </w:r>
          </w:p>
        </w:tc>
        <w:tc>
          <w:tcPr>
            <w:tcW w:type="dxa" w:w="74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Assessment</w:t>
            </w:r>
          </w:p>
        </w:tc>
      </w:tr>
      <w:tr>
        <w:tc>
          <w:tcPr>
            <w:tcW w:type="dxa" w:w="28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Database Function</w:t>
            </w:r>
          </w:p>
        </w:tc>
        <w:tc>
          <w:tcPr>
            <w:tcW w:type="dxa" w:w="74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Primary transactional and operational Oracle database supporting core business processes.</w:t>
            </w:r>
          </w:p>
        </w:tc>
      </w:tr>
      <w:tr>
        <w:tc>
          <w:tcPr>
            <w:tcW w:type="dxa" w:w="2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Business Owner</w:t>
            </w:r>
          </w:p>
        </w:tc>
        <w:tc>
          <w:tcPr>
            <w:tcW w:type="dxa" w:w="74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[Business Owner Name — to be confirmed and signed off]</w:t>
            </w:r>
          </w:p>
        </w:tc>
      </w:tr>
      <w:tr>
        <w:tc>
          <w:tcPr>
            <w:tcW w:type="dxa" w:w="28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Criticality</w:t>
            </w:r>
          </w:p>
        </w:tc>
        <w:tc>
          <w:tcPr>
            <w:tcW w:type="dxa" w:w="74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CRITICAL — core business operations depend directly on ZSD-PROD availability.</w:t>
            </w:r>
          </w:p>
        </w:tc>
      </w:tr>
      <w:tr>
        <w:tc>
          <w:tcPr>
            <w:tcW w:type="dxa" w:w="2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Impact of Outage (0–4 hrs)</w:t>
            </w:r>
          </w:p>
        </w:tc>
        <w:tc>
          <w:tcPr>
            <w:tcW w:type="dxa" w:w="74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Immediate operational disruption; customer-facing transactions cannot be processed; revenue impact begins.</w:t>
            </w:r>
          </w:p>
        </w:tc>
      </w:tr>
      <w:tr>
        <w:tc>
          <w:tcPr>
            <w:tcW w:type="dxa" w:w="28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Impact of Outage (4–12 hrs)</w:t>
            </w:r>
          </w:p>
        </w:tc>
        <w:tc>
          <w:tcPr>
            <w:tcW w:type="dxa" w:w="74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Significant revenue loss; manual workaround capacity exhausted; regulatory reporting risk if outage crosses reporting deadlines.</w:t>
            </w:r>
          </w:p>
        </w:tc>
      </w:tr>
      <w:tr>
        <w:tc>
          <w:tcPr>
            <w:tcW w:type="dxa" w:w="2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Impact of Outage (&gt;12 hrs)</w:t>
            </w:r>
          </w:p>
        </w:tc>
        <w:tc>
          <w:tcPr>
            <w:tcW w:type="dxa" w:w="74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Severe business impact; contractual SLA breaches likely; executive escalation and potential regulatory notification required.</w:t>
            </w:r>
          </w:p>
        </w:tc>
      </w:tr>
      <w:tr>
        <w:tc>
          <w:tcPr>
            <w:tcW w:type="dxa" w:w="28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Maximum Tolerable Downtime</w:t>
            </w:r>
          </w:p>
        </w:tc>
        <w:tc>
          <w:tcPr>
            <w:tcW w:type="dxa" w:w="74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12 Hours — business-agreed threshold before impact becomes unacceptable. (See Note in Section 3.)</w:t>
            </w:r>
          </w:p>
        </w:tc>
      </w:tr>
    </w:tbl>
    <w:p>
      <w:pPr>
        <w:spacing w:before="110" w:after="0"/>
      </w:pPr>
      <w:r>
        <w:t xml:space="preserve"/>
      </w:r>
    </w:p>
    <w:p>
      <w:pPr>
        <w:pStyle w:val="Heading1"/>
        <w:pBdr>
          <w:bottom w:val="single" w:color="1D4ED8" w:sz="6" w:space="1"/>
        </w:pBdr>
        <w:spacing w:before="200" w:after="80"/>
      </w:pPr>
      <w:r>
        <w:rPr>
          <w:rFonts w:ascii="Calibri" w:cs="Calibri" w:eastAsia="Calibri" w:hAnsi="Calibri"/>
          <w:b/>
          <w:bCs/>
          <w:color w:val="1B2A4A"/>
          <w:sz w:val="26"/>
          <w:szCs w:val="26"/>
        </w:rPr>
        <w:t xml:space="preserve">3. Formally Defined RTO &amp; RPO — ZSD-PROD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24"/>
        <w:gridCol w:w="2000"/>
        <w:gridCol w:w="2500"/>
      </w:tblGrid>
      <w:tr>
        <w:tc>
          <w:tcPr>
            <w:tcW w:type="dxa" w:w="25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Database</w:t>
            </w:r>
          </w:p>
        </w:tc>
        <w:tc>
          <w:tcPr>
            <w:tcW w:type="dxa" w:w="16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RTO Target</w:t>
            </w:r>
          </w:p>
        </w:tc>
        <w:tc>
          <w:tcPr>
            <w:tcW w:type="dxa" w:w="16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RPO Target</w:t>
            </w:r>
          </w:p>
        </w:tc>
        <w:tc>
          <w:tcPr>
            <w:tcW w:type="dxa" w:w="20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Recovery Strategy</w:t>
            </w:r>
          </w:p>
        </w:tc>
        <w:tc>
          <w:tcPr>
            <w:tcW w:type="dxa" w:w="25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Backup Policy Basis</w:t>
            </w:r>
          </w:p>
        </w:tc>
      </w:tr>
      <w:tr>
        <w:tc>
          <w:tcPr>
            <w:tcW w:type="dxa" w:w="25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ZSD-PROD (Oracle 19c, 200TB)</w:t>
            </w:r>
          </w:p>
        </w:tc>
        <w:tc>
          <w:tcPr>
            <w:tcW w:type="dxa" w:w="16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12 Hours *</w:t>
            </w:r>
          </w:p>
        </w:tc>
        <w:tc>
          <w:tcPr>
            <w:tcW w:type="dxa" w:w="16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bCs/>
                <w:color w:val="1E293B"/>
                <w:sz w:val="19"/>
                <w:szCs w:val="19"/>
              </w:rPr>
              <w:t xml:space="preserve">1 Hour</w:t>
            </w:r>
          </w:p>
        </w:tc>
        <w:tc>
          <w:tcPr>
            <w:tcW w:type="dxa" w:w="20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Tiered Restore — critical schemas first (Tier 1)</w:t>
            </w:r>
          </w:p>
        </w:tc>
        <w:tc>
          <w:tcPr>
            <w:tcW w:type="dxa" w:w="25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Weekly Full + Daily Incremental + Hourly Log (Cohesity)</w:t>
            </w:r>
          </w:p>
        </w:tc>
      </w:tr>
    </w:tbl>
    <w:p>
      <w:pPr>
        <w:spacing w:before="60" w:after="0"/>
      </w:pPr>
      <w:r>
        <w:t xml:space="preserve"/>
      </w:r>
    </w:p>
    <w:p>
      <w:pPr>
        <w:pBdr>
          <w:left w:val="single" w:color="92400E" w:sz="14" w:space="5"/>
        </w:pBdr>
        <w:shd w:fill="FEF3C7" w:val="clear"/>
        <w:spacing w:before="70" w:after="70"/>
        <w:ind w:left="160" w:right="160"/>
      </w:pPr>
      <w:r>
        <w:rPr>
          <w:rFonts w:ascii="Calibri" w:cs="Calibri" w:eastAsia="Calibri" w:hAnsi="Calibri"/>
          <w:i/>
          <w:iCs/>
          <w:color w:val="1E293B"/>
          <w:sz w:val="19"/>
          <w:szCs w:val="19"/>
        </w:rPr>
        <w:t xml:space="preserve">* 12-hour RTO is achievable only via a Tier 1 tiered recovery strategy that prioritises critical tablespaces and schemas first. A full 200TB restore is estimated at 36–72 hours and cannot meet this RTO. This is formally acknowledged — see Section 6 (Risk R-003). Business sign-off on this tiered approach is required before this document is submitted as final audit evidence.</w:t>
      </w:r>
    </w:p>
    <w:p>
      <w:r>
        <w:br w:type="page"/>
      </w:r>
    </w:p>
    <w:p>
      <w:pPr>
        <w:pStyle w:val="Heading1"/>
        <w:pBdr>
          <w:bottom w:val="single" w:color="1D4ED8" w:sz="6" w:space="1"/>
        </w:pBdr>
        <w:spacing w:before="200" w:after="80"/>
      </w:pPr>
      <w:r>
        <w:rPr>
          <w:rFonts w:ascii="Calibri" w:cs="Calibri" w:eastAsia="Calibri" w:hAnsi="Calibri"/>
          <w:b/>
          <w:bCs/>
          <w:color w:val="1B2A4A"/>
          <w:sz w:val="26"/>
          <w:szCs w:val="26"/>
        </w:rPr>
        <w:t xml:space="preserve">4. Infrastructure Assumptions for Database Recovery</w:t>
      </w:r>
    </w:p>
    <w:p>
      <w:pPr>
        <w:spacing w:before="50" w:after="50"/>
      </w:pPr>
      <w:r>
        <w:rPr>
          <w:rFonts w:ascii="Calibri" w:cs="Calibri" w:eastAsia="Calibri" w:hAnsi="Calibri"/>
          <w:b w:val="false"/>
          <w:bCs w:val="false"/>
          <w:color w:val="1E293B"/>
          <w:sz w:val="20"/>
          <w:szCs w:val="20"/>
        </w:rPr>
        <w:t xml:space="preserve">The RTO estimates in this document assume that all supporting infrastructure is in a ready state prior to initiating Oracle database recovery from Cohesity backup. The following components and conditions are assumed to be pre-provisioned, validated, and available at the time of a declared cyber incident.</w:t>
      </w:r>
    </w:p>
    <w:p>
      <w:pPr>
        <w:spacing w:before="70" w:after="0"/>
      </w:pPr>
      <w:r>
        <w:t xml:space="preserve"/>
      </w:r>
    </w:p>
    <w:p>
      <w:pPr>
        <w:pBdr>
          <w:left w:val="single" w:color="1D4ED8" w:sz="14" w:space="5"/>
        </w:pBdr>
        <w:shd w:fill="DBEAFE" w:val="clear"/>
        <w:spacing w:before="70" w:after="70"/>
        <w:ind w:left="160" w:right="160"/>
      </w:pPr>
      <w:r>
        <w:rPr>
          <w:rFonts w:ascii="Calibri" w:cs="Calibri" w:eastAsia="Calibri" w:hAnsi="Calibri"/>
          <w:i/>
          <w:iCs/>
          <w:color w:val="1E293B"/>
          <w:sz w:val="19"/>
          <w:szCs w:val="19"/>
        </w:rPr>
        <w:t xml:space="preserve">Scope Boundary: This document covers Oracle database recovery only. Infrastructure setup and readiness (items below) are the responsibility of the respective infrastructure and platform teams and are assumed complete before the DBA recovery procedure begins.</w:t>
      </w:r>
    </w:p>
    <w:p>
      <w:pPr>
        <w:spacing w:before="80" w:after="0"/>
      </w:pPr>
      <w:r>
        <w:t xml:space="preserve"/>
      </w:r>
    </w:p>
    <w:p>
      <w:pPr>
        <w:pStyle w:val="Heading2"/>
        <w:spacing w:before="140" w:after="60"/>
      </w:pPr>
      <w:r>
        <w:rPr>
          <w:rFonts w:ascii="Calibri" w:cs="Calibri" w:eastAsia="Calibri" w:hAnsi="Calibri"/>
          <w:b/>
          <w:bCs/>
          <w:color w:val="1D4ED8"/>
          <w:sz w:val="22"/>
          <w:szCs w:val="22"/>
        </w:rPr>
        <w:t xml:space="preserve">4.1 Required Infrastructure Components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80"/>
        <w:gridCol w:w="2444"/>
        <w:gridCol w:w="4400"/>
        <w:gridCol w:w="3000"/>
      </w:tblGrid>
      <w:tr>
        <w:tc>
          <w:tcPr>
            <w:tcW w:type="dxa" w:w="38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
            </w:r>
          </w:p>
        </w:tc>
        <w:tc>
          <w:tcPr>
            <w:tcW w:type="dxa" w:w="244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Component</w:t>
            </w:r>
          </w:p>
        </w:tc>
        <w:tc>
          <w:tcPr>
            <w:tcW w:type="dxa" w:w="44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Assumption</w:t>
            </w:r>
          </w:p>
        </w:tc>
        <w:tc>
          <w:tcPr>
            <w:tcW w:type="dxa" w:w="30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Owner</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1</w:t>
            </w:r>
          </w:p>
        </w:tc>
        <w:tc>
          <w:tcPr>
            <w:tcW w:type="dxa" w:w="24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Recovery Target Server</w:t>
            </w:r>
          </w:p>
        </w:tc>
        <w:tc>
          <w:tcPr>
            <w:tcW w:type="dxa" w:w="4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A clean, production-equivalent server (physical or virtual) with Oracle 19c software installed, patched to the same version as ZSD-PROD, is available and accessible before recovery begins. OS, storage mounts, and Oracle binaries are confirmed healthy.</w:t>
            </w:r>
          </w:p>
        </w:tc>
        <w:tc>
          <w:tcPr>
            <w:tcW w:type="dxa" w:w="30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475569"/>
                <w:sz w:val="19"/>
                <w:szCs w:val="19"/>
              </w:rPr>
              <w:t xml:space="preserve">Infrastructure / Platform Team</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2</w:t>
            </w:r>
          </w:p>
        </w:tc>
        <w:tc>
          <w:tcPr>
            <w:tcW w:type="dxa" w:w="24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Sufficient Disk Storage</w:t>
            </w:r>
          </w:p>
        </w:tc>
        <w:tc>
          <w:tcPr>
            <w:tcW w:type="dxa" w:w="4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The recovery target has at minimum 200TB of available, formatted storage mounted at the correct Oracle data file paths. Storage I/O performance is equivalent to production to support parallel RMAN restore.</w:t>
            </w:r>
          </w:p>
        </w:tc>
        <w:tc>
          <w:tcPr>
            <w:tcW w:type="dxa" w:w="30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475569"/>
                <w:sz w:val="19"/>
                <w:szCs w:val="19"/>
              </w:rPr>
              <w:t xml:space="preserve">Storage Team</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3</w:t>
            </w:r>
          </w:p>
        </w:tc>
        <w:tc>
          <w:tcPr>
            <w:tcW w:type="dxa" w:w="24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Cohesity Cluster Availability</w:t>
            </w:r>
          </w:p>
        </w:tc>
        <w:tc>
          <w:tcPr>
            <w:tcW w:type="dxa" w:w="4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The Cohesity DataProtect cluster (or DR site replication target) is operational, accessible, and confirmed unaffected by the cyber incident. The Cohesity Oracle agent is installed and registered on the recovery target server.</w:t>
            </w:r>
          </w:p>
        </w:tc>
        <w:tc>
          <w:tcPr>
            <w:tcW w:type="dxa" w:w="30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475569"/>
                <w:sz w:val="19"/>
                <w:szCs w:val="19"/>
              </w:rPr>
              <w:t xml:space="preserve">Backup / Infrastructure Team</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4</w:t>
            </w:r>
          </w:p>
        </w:tc>
        <w:tc>
          <w:tcPr>
            <w:tcW w:type="dxa" w:w="24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Network Connectivity</w:t>
            </w:r>
          </w:p>
        </w:tc>
        <w:tc>
          <w:tcPr>
            <w:tcW w:type="dxa" w:w="4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Sufficient network bandwidth is available between the recovery target server and the Cohesity cluster. The backup network VLAN is isolated from the compromised production network. Firewall rules permit RMAN traffic on required ports.</w:t>
            </w:r>
          </w:p>
        </w:tc>
        <w:tc>
          <w:tcPr>
            <w:tcW w:type="dxa" w:w="30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475569"/>
                <w:sz w:val="19"/>
                <w:szCs w:val="19"/>
              </w:rPr>
              <w:t xml:space="preserve">Network Team</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5</w:t>
            </w:r>
          </w:p>
        </w:tc>
        <w:tc>
          <w:tcPr>
            <w:tcW w:type="dxa" w:w="24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Oracle Software &amp; Licencing</w:t>
            </w:r>
          </w:p>
        </w:tc>
        <w:tc>
          <w:tcPr>
            <w:tcW w:type="dxa" w:w="4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Oracle 19c RDBMS software is pre-installed on the recovery target with a valid licence. Oracle parameters (SGA, PGA, processes, block size) match the ZSD-PROD configuration to ensure compatibility with the restored data files.</w:t>
            </w:r>
          </w:p>
        </w:tc>
        <w:tc>
          <w:tcPr>
            <w:tcW w:type="dxa" w:w="30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475569"/>
                <w:sz w:val="19"/>
                <w:szCs w:val="19"/>
              </w:rPr>
              <w:t xml:space="preserve">DBA Team</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6</w:t>
            </w:r>
          </w:p>
        </w:tc>
        <w:tc>
          <w:tcPr>
            <w:tcW w:type="dxa" w:w="24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RMAN Channel Capacity</w:t>
            </w:r>
          </w:p>
        </w:tc>
        <w:tc>
          <w:tcPr>
            <w:tcW w:type="dxa" w:w="4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The Cohesity cluster supports a minimum of 32 concurrent RMAN restore channels from the recovery target. This parallelism level is pre-tested and confirmed with the Cohesity administrator before a production recovery is declared.</w:t>
            </w:r>
          </w:p>
        </w:tc>
        <w:tc>
          <w:tcPr>
            <w:tcW w:type="dxa" w:w="30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475569"/>
                <w:sz w:val="19"/>
                <w:szCs w:val="19"/>
              </w:rPr>
              <w:t xml:space="preserve">DBA Team + Backup Team</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7</w:t>
            </w:r>
          </w:p>
        </w:tc>
        <w:tc>
          <w:tcPr>
            <w:tcW w:type="dxa" w:w="24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Clean Cohesity Snapshot Identified</w:t>
            </w:r>
          </w:p>
        </w:tc>
        <w:tc>
          <w:tcPr>
            <w:tcW w:type="dxa" w:w="4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A clean restore point (most recent Cohesity snapshot confirmed malware-free via Cohesity Threat Intelligence scan) has been identified and verified before RMAN recovery begins. The snapshot is from within the 1-hour RPO window.</w:t>
            </w:r>
          </w:p>
        </w:tc>
        <w:tc>
          <w:tcPr>
            <w:tcW w:type="dxa" w:w="30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475569"/>
                <w:sz w:val="19"/>
                <w:szCs w:val="19"/>
              </w:rPr>
              <w:t xml:space="preserve">Backup Team + DBA Team</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8</w:t>
            </w:r>
          </w:p>
        </w:tc>
        <w:tc>
          <w:tcPr>
            <w:tcW w:type="dxa" w:w="24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Access &amp; Credentials</w:t>
            </w:r>
          </w:p>
        </w:tc>
        <w:tc>
          <w:tcPr>
            <w:tcW w:type="dxa" w:w="4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team has access to Cohesity management console, Oracle RMAN credentials, and the recovery target server. Break-glass credentials are available if standard authentication is unavailable due to the incident.</w:t>
            </w:r>
          </w:p>
        </w:tc>
        <w:tc>
          <w:tcPr>
            <w:tcW w:type="dxa" w:w="30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475569"/>
                <w:sz w:val="19"/>
                <w:szCs w:val="19"/>
              </w:rPr>
              <w:t xml:space="preserve">DBA Team + Security Team</w:t>
            </w:r>
          </w:p>
        </w:tc>
      </w:tr>
    </w:tbl>
    <w:p>
      <w:pPr>
        <w:spacing w:before="70" w:after="0"/>
      </w:pPr>
      <w:r>
        <w:t xml:space="preserve"/>
      </w:r>
    </w:p>
    <w:p>
      <w:pPr>
        <w:pBdr>
          <w:left w:val="single" w:color="166534" w:sz="14" w:space="5"/>
        </w:pBdr>
        <w:shd w:fill="DCFCE7" w:val="clear"/>
        <w:spacing w:before="70" w:after="70"/>
        <w:ind w:left="160" w:right="160"/>
      </w:pPr>
      <w:r>
        <w:rPr>
          <w:rFonts w:ascii="Calibri" w:cs="Calibri" w:eastAsia="Calibri" w:hAnsi="Calibri"/>
          <w:i/>
          <w:iCs/>
          <w:color w:val="1E293B"/>
          <w:sz w:val="19"/>
          <w:szCs w:val="19"/>
        </w:rPr>
        <w:t xml:space="preserve">Assuming all components above are in place and ready, the DBA team can initiate Oracle RMAN recovery from the Cohesity snapshot. The recovery times in Section 5 start from this point — i.e., from the moment RMAN is invoked, not from the start of infrastructure setup.</w:t>
      </w:r>
    </w:p>
    <w:p>
      <w:r>
        <w:br w:type="page"/>
      </w:r>
    </w:p>
    <w:p>
      <w:pPr>
        <w:pStyle w:val="Heading1"/>
        <w:pBdr>
          <w:bottom w:val="single" w:color="1D4ED8" w:sz="6" w:space="1"/>
        </w:pBdr>
        <w:spacing w:before="200" w:after="80"/>
      </w:pPr>
      <w:r>
        <w:rPr>
          <w:rFonts w:ascii="Calibri" w:cs="Calibri" w:eastAsia="Calibri" w:hAnsi="Calibri"/>
          <w:b/>
          <w:bCs/>
          <w:color w:val="1B2A4A"/>
          <w:sz w:val="26"/>
          <w:szCs w:val="26"/>
        </w:rPr>
        <w:t xml:space="preserve">5. Cohesity Backup Policy — ZSD-PROD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1624"/>
        <w:gridCol w:w="1600"/>
        <w:gridCol w:w="1800"/>
        <w:gridCol w:w="3400"/>
      </w:tblGrid>
      <w:tr>
        <w:tc>
          <w:tcPr>
            <w:tcW w:type="dxa" w:w="18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Backup Type</w:t>
            </w:r>
          </w:p>
        </w:tc>
        <w:tc>
          <w:tcPr>
            <w:tcW w:type="dxa" w:w="16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Frequency</w:t>
            </w:r>
          </w:p>
        </w:tc>
        <w:tc>
          <w:tcPr>
            <w:tcW w:type="dxa" w:w="16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Retention</w:t>
            </w:r>
          </w:p>
        </w:tc>
        <w:tc>
          <w:tcPr>
            <w:tcW w:type="dxa" w:w="18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DataLock (WORM)</w:t>
            </w:r>
          </w:p>
        </w:tc>
        <w:tc>
          <w:tcPr>
            <w:tcW w:type="dxa" w:w="34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Recovery Relevance</w:t>
            </w:r>
          </w:p>
        </w:tc>
      </w:tr>
      <w:tr>
        <w:tc>
          <w:tcPr>
            <w:tcW w:type="dxa" w:w="1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Weekly Full Backup</w:t>
            </w:r>
          </w:p>
        </w:tc>
        <w:tc>
          <w:tcPr>
            <w:tcW w:type="dxa" w:w="16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Every Sunday 22:00</w:t>
            </w:r>
          </w:p>
        </w:tc>
        <w:tc>
          <w:tcPr>
            <w:tcW w:type="dxa" w:w="1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4 wks local
/ 12 wks DR</w:t>
            </w:r>
          </w:p>
        </w:tc>
        <w:tc>
          <w:tcPr>
            <w:tcW w:type="dxa" w:w="18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WORM Active</w:t>
            </w:r>
          </w:p>
        </w:tc>
        <w:tc>
          <w:tcPr>
            <w:tcW w:type="dxa" w:w="3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Guaranteed full restore baseline. DataLock prevents ransomware from deleting or encrypting this copy.</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Daily Incremental</w:t>
            </w:r>
          </w:p>
        </w:tc>
        <w:tc>
          <w:tcPr>
            <w:tcW w:type="dxa" w:w="16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Mon–Sat 22:00</w:t>
            </w:r>
          </w:p>
        </w:tc>
        <w:tc>
          <w:tcPr>
            <w:tcW w:type="dxa" w:w="1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30 days local
/ 60 days DR</w:t>
            </w:r>
          </w:p>
        </w:tc>
        <w:tc>
          <w:tcPr>
            <w:tcW w:type="dxa" w:w="18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WORM Active</w:t>
            </w:r>
          </w:p>
        </w:tc>
        <w:tc>
          <w:tcPr>
            <w:tcW w:type="dxa" w:w="3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Reduces restore scope to changes since last full. Enables restore to any point within 30 days.</w:t>
            </w:r>
          </w:p>
        </w:tc>
      </w:tr>
      <w:tr>
        <w:tc>
          <w:tcPr>
            <w:tcW w:type="dxa" w:w="1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Hourly Archive Log</w:t>
            </w:r>
          </w:p>
        </w:tc>
        <w:tc>
          <w:tcPr>
            <w:tcW w:type="dxa" w:w="16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Every 1 hour</w:t>
            </w:r>
          </w:p>
        </w:tc>
        <w:tc>
          <w:tcPr>
            <w:tcW w:type="dxa" w:w="1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7 days local
/ 30 days DR</w:t>
            </w:r>
          </w:p>
        </w:tc>
        <w:tc>
          <w:tcPr>
            <w:tcW w:type="dxa" w:w="18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WORM Active</w:t>
            </w:r>
          </w:p>
        </w:tc>
        <w:tc>
          <w:tcPr>
            <w:tcW w:type="dxa" w:w="3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Enables point-in-time recovery within 1-hour granularity. Directly supports the ZSD-PROD RPO = 1 hour.</w:t>
            </w:r>
          </w:p>
        </w:tc>
      </w:tr>
    </w:tbl>
    <w:p>
      <w:pPr>
        <w:spacing w:before="100" w:after="0"/>
      </w:pPr>
      <w:r>
        <w:t xml:space="preserve"/>
      </w:r>
    </w:p>
    <w:p>
      <w:pPr>
        <w:pStyle w:val="Heading1"/>
        <w:pBdr>
          <w:bottom w:val="single" w:color="1D4ED8" w:sz="6" w:space="1"/>
        </w:pBdr>
        <w:spacing w:before="200" w:after="80"/>
      </w:pPr>
      <w:r>
        <w:rPr>
          <w:rFonts w:ascii="Calibri" w:cs="Calibri" w:eastAsia="Calibri" w:hAnsi="Calibri"/>
          <w:b/>
          <w:bCs/>
          <w:color w:val="1B2A4A"/>
          <w:sz w:val="26"/>
          <w:szCs w:val="26"/>
        </w:rPr>
        <w:t xml:space="preserve">6. Recovery Test Evidence &amp; Production RTO Extrapolation</w:t>
      </w:r>
    </w:p>
    <w:p>
      <w:pPr>
        <w:pStyle w:val="Heading2"/>
        <w:spacing w:before="140" w:after="60"/>
      </w:pPr>
      <w:r>
        <w:rPr>
          <w:rFonts w:ascii="Calibri" w:cs="Calibri" w:eastAsia="Calibri" w:hAnsi="Calibri"/>
          <w:b/>
          <w:bCs/>
          <w:color w:val="1D4ED8"/>
          <w:sz w:val="22"/>
          <w:szCs w:val="22"/>
        </w:rPr>
        <w:t xml:space="preserve">6.1 Pre-Production Recovery Test — Environment &amp; Result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112"/>
        <w:gridCol w:w="3556"/>
        <w:gridCol w:w="3556"/>
      </w:tblGrid>
      <w:tr>
        <w:tc>
          <w:tcPr>
            <w:tcW w:type="dxa" w:w="3112"/>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Parameter</w:t>
            </w:r>
          </w:p>
        </w:tc>
        <w:tc>
          <w:tcPr>
            <w:tcW w:type="dxa" w:w="3556"/>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Pre-Production (Tested)</w:t>
            </w:r>
          </w:p>
        </w:tc>
        <w:tc>
          <w:tcPr>
            <w:tcW w:type="dxa" w:w="3556"/>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Production ZSD-PROD (Reference)</w:t>
            </w:r>
          </w:p>
        </w:tc>
      </w:tr>
      <w:tr>
        <w:tc>
          <w:tcPr>
            <w:tcW w:type="dxa" w:w="3112"/>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Oracle Version</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19c</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19c</w:t>
            </w:r>
          </w:p>
        </w:tc>
      </w:tr>
      <w:tr>
        <w:tc>
          <w:tcPr>
            <w:tcW w:type="dxa" w:w="3112"/>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Database Size</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30 GB</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200 TB</w:t>
            </w:r>
          </w:p>
        </w:tc>
      </w:tr>
      <w:tr>
        <w:tc>
          <w:tcPr>
            <w:tcW w:type="dxa" w:w="3112"/>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Scale Factor</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~6,800× larger than pre-prod</w:t>
            </w:r>
          </w:p>
        </w:tc>
      </w:tr>
      <w:tr>
        <w:tc>
          <w:tcPr>
            <w:tcW w:type="dxa" w:w="3112"/>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Server CPU</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8 cores</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48 cores (6× more)</w:t>
            </w:r>
          </w:p>
        </w:tc>
      </w:tr>
      <w:tr>
        <w:tc>
          <w:tcPr>
            <w:tcW w:type="dxa" w:w="3112"/>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RMAN Channels Used</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8 parallel channels</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Up to 32 channels (4× more)</w:t>
            </w:r>
          </w:p>
        </w:tc>
      </w:tr>
      <w:tr>
        <w:tc>
          <w:tcPr>
            <w:tcW w:type="dxa" w:w="3112"/>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Cohesity Network</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Shared (bandwidth unconfirmed)</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Dedicated (bandwidth TBC — see Risk)</w:t>
            </w:r>
          </w:p>
        </w:tc>
      </w:tr>
      <w:tr>
        <w:tc>
          <w:tcPr>
            <w:tcW w:type="dxa" w:w="3112"/>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Restore Source</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Cohesity immutable snapshot</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Cohesity immutable snapshot</w:t>
            </w:r>
          </w:p>
        </w:tc>
      </w:tr>
      <w:tr>
        <w:tc>
          <w:tcPr>
            <w:tcW w:type="dxa" w:w="3112"/>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Test Date</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[INSERT DATE]</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w:t>
            </w:r>
          </w:p>
        </w:tc>
      </w:tr>
      <w:tr>
        <w:tc>
          <w:tcPr>
            <w:tcW w:type="dxa" w:w="3112"/>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Simulated Scenario</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Ransomware — all DB data files encrypted</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w:t>
            </w:r>
          </w:p>
        </w:tc>
      </w:tr>
    </w:tbl>
    <w:p>
      <w:pPr>
        <w:spacing w:before="90" w:after="0"/>
      </w:pPr>
      <w:r>
        <w:t xml:space="preserve"/>
      </w:r>
    </w:p>
    <w:p>
      <w:pPr>
        <w:pStyle w:val="Heading2"/>
        <w:spacing w:before="140" w:after="60"/>
      </w:pPr>
      <w:r>
        <w:rPr>
          <w:rFonts w:ascii="Calibri" w:cs="Calibri" w:eastAsia="Calibri" w:hAnsi="Calibri"/>
          <w:b/>
          <w:bCs/>
          <w:color w:val="1D4ED8"/>
          <w:sz w:val="22"/>
          <w:szCs w:val="22"/>
        </w:rPr>
        <w:t xml:space="preserve">6.2 Pre-Production Recovery Time Actual (RTA)</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824"/>
        <w:gridCol w:w="1800"/>
        <w:gridCol w:w="3600"/>
      </w:tblGrid>
      <w:tr>
        <w:tc>
          <w:tcPr>
            <w:tcW w:type="dxa" w:w="48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Recovery Phase</w:t>
            </w:r>
          </w:p>
        </w:tc>
        <w:tc>
          <w:tcPr>
            <w:tcW w:type="dxa" w:w="18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Time Taken</w:t>
            </w:r>
          </w:p>
        </w:tc>
        <w:tc>
          <w:tcPr>
            <w:tcW w:type="dxa" w:w="36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Outcome</w:t>
            </w:r>
          </w:p>
        </w:tc>
      </w:tr>
      <w:tr>
        <w:tc>
          <w:tcPr>
            <w:tcW w:type="dxa" w:w="48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Pre-restore: snapshot identification, threat scan, host readiness check</w:t>
            </w:r>
          </w:p>
        </w:tc>
        <w:tc>
          <w:tcPr>
            <w:tcW w:type="dxa" w:w="18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~5 min</w:t>
            </w:r>
          </w:p>
        </w:tc>
        <w:tc>
          <w:tcPr>
            <w:tcW w:type="dxa" w:w="36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PASS — Clean restore point confirmed; no malware detected</w:t>
            </w:r>
          </w:p>
        </w:tc>
      </w:tr>
      <w:tr>
        <w:tc>
          <w:tcPr>
            <w:tcW w:type="dxa" w:w="48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Cohesity RMAN restore of 30 GB Oracle database (8 parallel channels)</w:t>
            </w:r>
          </w:p>
        </w:tc>
        <w:tc>
          <w:tcPr>
            <w:tcW w:type="dxa" w:w="18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~10 min</w:t>
            </w:r>
          </w:p>
        </w:tc>
        <w:tc>
          <w:tcPr>
            <w:tcW w:type="dxa" w:w="36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PASS — Restore completed; data integrity verified</w:t>
            </w:r>
          </w:p>
        </w:tc>
      </w:tr>
      <w:tr>
        <w:tc>
          <w:tcPr>
            <w:tcW w:type="dxa" w:w="48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Post-restore: Oracle startup, RMAN validate, database open READ WRITE</w:t>
            </w:r>
          </w:p>
        </w:tc>
        <w:tc>
          <w:tcPr>
            <w:tcW w:type="dxa" w:w="18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~5 min</w:t>
            </w:r>
          </w:p>
        </w:tc>
        <w:tc>
          <w:tcPr>
            <w:tcW w:type="dxa" w:w="36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PASS — 0 corrupt blocks; alert log clean</w:t>
            </w:r>
          </w:p>
        </w:tc>
      </w:tr>
      <w:tr>
        <w:tc>
          <w:tcPr>
            <w:tcW w:type="dxa" w:w="48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Application smoke test &amp; recovery sign-off</w:t>
            </w:r>
          </w:p>
        </w:tc>
        <w:tc>
          <w:tcPr>
            <w:tcW w:type="dxa" w:w="18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~5 min</w:t>
            </w:r>
          </w:p>
        </w:tc>
        <w:tc>
          <w:tcPr>
            <w:tcW w:type="dxa" w:w="36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PASS — Key transactions validated</w:t>
            </w:r>
          </w:p>
        </w:tc>
      </w:tr>
      <w:tr>
        <w:tc>
          <w:tcPr>
            <w:tcW w:type="dxa" w:w="4824"/>
            <w:tcBorders>
              <w:top w:val="single" w:color="CBD5E1" w:sz="1"/>
              <w:left w:val="single" w:color="CBD5E1" w:sz="1"/>
              <w:bottom w:val="single" w:color="CBD5E1" w:sz="1"/>
              <w:right w:val="single" w:color="CBD5E1" w:sz="1"/>
            </w:tcBorders>
            <w:shd w:fill="1B2A4A" w:val="clear"/>
            <w:tcMar>
              <w:top w:type="dxa" w:w="85"/>
              <w:left w:type="dxa" w:w="120"/>
              <w:bottom w:type="dxa" w:w="85"/>
              <w:right w:type="dxa" w:w="120"/>
            </w:tcMar>
            <w:vAlign w:val="center"/>
          </w:tcPr>
          <w:p>
            <w:pPr>
              <w:jc w:val="left"/>
            </w:pPr>
            <w:r>
              <w:rPr>
                <w:rFonts w:ascii="Calibri" w:cs="Calibri" w:eastAsia="Calibri" w:hAnsi="Calibri"/>
                <w:b/>
                <w:bCs/>
                <w:color w:val="FFFFFF"/>
                <w:sz w:val="19"/>
                <w:szCs w:val="19"/>
              </w:rPr>
              <w:t xml:space="preserve">TOTAL — Pre-Production RTA (30 GB)</w:t>
            </w:r>
          </w:p>
        </w:tc>
        <w:tc>
          <w:tcPr>
            <w:tcW w:type="dxa" w:w="1800"/>
            <w:tcBorders>
              <w:top w:val="single" w:color="CBD5E1" w:sz="1"/>
              <w:left w:val="single" w:color="CBD5E1" w:sz="1"/>
              <w:bottom w:val="single" w:color="CBD5E1" w:sz="1"/>
              <w:right w:val="single" w:color="CBD5E1" w:sz="1"/>
            </w:tcBorders>
            <w:shd w:fill="1D4ED8" w:val="clear"/>
            <w:tcMar>
              <w:top w:type="dxa" w:w="85"/>
              <w:left w:type="dxa" w:w="120"/>
              <w:bottom w:type="dxa" w:w="85"/>
              <w:right w:type="dxa" w:w="120"/>
            </w:tcMar>
            <w:vAlign w:val="center"/>
          </w:tcPr>
          <w:p>
            <w:pPr>
              <w:jc w:val="center"/>
            </w:pPr>
            <w:r>
              <w:rPr>
                <w:rFonts w:ascii="Calibri" w:cs="Calibri" w:eastAsia="Calibri" w:hAnsi="Calibri"/>
                <w:b/>
                <w:bCs/>
                <w:color w:val="FFFFFF"/>
                <w:sz w:val="19"/>
                <w:szCs w:val="19"/>
              </w:rPr>
              <w:t xml:space="preserve">~25 min</w:t>
            </w:r>
          </w:p>
        </w:tc>
        <w:tc>
          <w:tcPr>
            <w:tcW w:type="dxa" w:w="36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left"/>
            </w:pPr>
            <w:r>
              <w:rPr>
                <w:rFonts w:ascii="Calibri" w:cs="Calibri" w:eastAsia="Calibri" w:hAnsi="Calibri"/>
                <w:b/>
                <w:bCs/>
                <w:color w:val="166534"/>
                <w:sz w:val="19"/>
                <w:szCs w:val="19"/>
              </w:rPr>
              <w:t xml:space="preserve">WITHIN TARGET  |  30 GB recovered in under 30 minutes</w:t>
            </w:r>
          </w:p>
        </w:tc>
      </w:tr>
    </w:tbl>
    <w:p>
      <w:pPr>
        <w:spacing w:before="90" w:after="0"/>
      </w:pPr>
      <w:r>
        <w:t xml:space="preserve"/>
      </w:r>
    </w:p>
    <w:p>
      <w:pPr>
        <w:pStyle w:val="Heading2"/>
        <w:spacing w:before="140" w:after="60"/>
      </w:pPr>
      <w:r>
        <w:rPr>
          <w:rFonts w:ascii="Calibri" w:cs="Calibri" w:eastAsia="Calibri" w:hAnsi="Calibri"/>
          <w:b/>
          <w:bCs/>
          <w:color w:val="1D4ED8"/>
          <w:sz w:val="22"/>
          <w:szCs w:val="22"/>
        </w:rPr>
        <w:t xml:space="preserve">6.3 Production RTO Extrapolation — ZSD-PROD (200 TB)</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24"/>
        <w:gridCol w:w="1500"/>
        <w:gridCol w:w="1700"/>
        <w:gridCol w:w="1400"/>
        <w:gridCol w:w="2800"/>
      </w:tblGrid>
      <w:tr>
        <w:tc>
          <w:tcPr>
            <w:tcW w:type="dxa" w:w="28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Recovery Scope</w:t>
            </w:r>
          </w:p>
        </w:tc>
        <w:tc>
          <w:tcPr>
            <w:tcW w:type="dxa" w:w="15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Est. Duration</w:t>
            </w:r>
          </w:p>
        </w:tc>
        <w:tc>
          <w:tcPr>
            <w:tcW w:type="dxa" w:w="17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Meets 12-hr RTO?</w:t>
            </w:r>
          </w:p>
        </w:tc>
        <w:tc>
          <w:tcPr>
            <w:tcW w:type="dxa" w:w="14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RMAN Channels</w:t>
            </w:r>
          </w:p>
        </w:tc>
        <w:tc>
          <w:tcPr>
            <w:tcW w:type="dxa" w:w="28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28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Tier 1 — Critical schemas / tablespaces (~5–15% of 200TB = 10–30TB)</w:t>
            </w:r>
          </w:p>
        </w:tc>
        <w:tc>
          <w:tcPr>
            <w:tcW w:type="dxa" w:w="15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4–8 hours</w:t>
            </w:r>
          </w:p>
        </w:tc>
        <w:tc>
          <w:tcPr>
            <w:tcW w:type="dxa" w:w="17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YES</w:t>
            </w:r>
          </w:p>
        </w:tc>
        <w:tc>
          <w:tcPr>
            <w:tcW w:type="dxa" w:w="1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32 (max parallel)</w:t>
            </w:r>
          </w:p>
        </w:tc>
        <w:tc>
          <w:tcPr>
            <w:tcW w:type="dxa" w:w="2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Recommended primary strategy. Restores core transactional data sufficient for business operations to resume within RTO.</w:t>
            </w:r>
          </w:p>
        </w:tc>
      </w:tr>
      <w:tr>
        <w:tc>
          <w:tcPr>
            <w:tcW w:type="dxa" w:w="28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Tier 2 — Extended operational data (~50% of 200TB = ~100TB)</w:t>
            </w:r>
          </w:p>
        </w:tc>
        <w:tc>
          <w:tcPr>
            <w:tcW w:type="dxa" w:w="15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18–30 hours</w:t>
            </w:r>
          </w:p>
        </w:tc>
        <w:tc>
          <w:tcPr>
            <w:tcW w:type="dxa" w:w="17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32 (max parallel)</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Post-RTO background recovery. Business operations running on Tier 1 data while this completes.</w:t>
            </w:r>
          </w:p>
        </w:tc>
      </w:tr>
      <w:tr>
        <w:tc>
          <w:tcPr>
            <w:tcW w:type="dxa" w:w="28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Full 200TB restore (complete database)</w:t>
            </w:r>
          </w:p>
        </w:tc>
        <w:tc>
          <w:tcPr>
            <w:tcW w:type="dxa" w:w="15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36–72 hours</w:t>
            </w:r>
          </w:p>
        </w:tc>
        <w:tc>
          <w:tcPr>
            <w:tcW w:type="dxa" w:w="1700"/>
            <w:tcBorders>
              <w:top w:val="single" w:color="CBD5E1" w:sz="1"/>
              <w:left w:val="single" w:color="CBD5E1" w:sz="1"/>
              <w:bottom w:val="single" w:color="CBD5E1" w:sz="1"/>
              <w:right w:val="single" w:color="CBD5E1" w:sz="1"/>
            </w:tcBorders>
            <w:shd w:fill="FEE2E2" w:val="clear"/>
            <w:tcMar>
              <w:top w:type="dxa" w:w="85"/>
              <w:left w:type="dxa" w:w="120"/>
              <w:bottom w:type="dxa" w:w="85"/>
              <w:right w:type="dxa" w:w="120"/>
            </w:tcMar>
            <w:vAlign w:val="center"/>
          </w:tcPr>
          <w:p>
            <w:pPr>
              <w:jc w:val="center"/>
            </w:pPr>
            <w:r>
              <w:rPr>
                <w:rFonts w:ascii="Calibri" w:cs="Calibri" w:eastAsia="Calibri" w:hAnsi="Calibri"/>
                <w:b/>
                <w:bCs/>
                <w:color w:val="991B1B"/>
                <w:sz w:val="19"/>
                <w:szCs w:val="19"/>
              </w:rPr>
              <w:t xml:space="preserve">NO</w:t>
            </w:r>
          </w:p>
        </w:tc>
        <w:tc>
          <w:tcPr>
            <w:tcW w:type="dxa" w:w="1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32 (max parallel)</w:t>
            </w:r>
          </w:p>
        </w:tc>
        <w:tc>
          <w:tcPr>
            <w:tcW w:type="dxa" w:w="2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Full restore at scale. Not required to meet 12-hr RTO. Bandwidth confirmation needed to firm this estimate.</w:t>
            </w:r>
          </w:p>
        </w:tc>
      </w:tr>
    </w:tbl>
    <w:p>
      <w:r>
        <w:br w:type="page"/>
      </w:r>
    </w:p>
    <w:p>
      <w:pPr>
        <w:pStyle w:val="Heading2"/>
        <w:spacing w:before="140" w:after="60"/>
      </w:pPr>
      <w:r>
        <w:rPr>
          <w:rFonts w:ascii="Calibri" w:cs="Calibri" w:eastAsia="Calibri" w:hAnsi="Calibri"/>
          <w:b/>
          <w:bCs/>
          <w:color w:val="1D4ED8"/>
          <w:sz w:val="22"/>
          <w:szCs w:val="22"/>
        </w:rPr>
        <w:t xml:space="preserve">6.4 Scaling Assumptions</w:t>
      </w:r>
    </w:p>
    <w:p>
      <w:pPr>
        <w:spacing w:before="50" w:after="50"/>
      </w:pPr>
      <w:r>
        <w:rPr>
          <w:rFonts w:ascii="Calibri" w:cs="Calibri" w:eastAsia="Calibri" w:hAnsi="Calibri"/>
          <w:b w:val="false"/>
          <w:bCs w:val="false"/>
          <w:color w:val="1E293B"/>
          <w:sz w:val="20"/>
          <w:szCs w:val="20"/>
        </w:rPr>
        <w:t xml:space="preserve">The following assumptions underpin the production extrapolation. They are explicitly stated for audit transparency.</w:t>
      </w:r>
    </w:p>
    <w:p>
      <w:pPr>
        <w:spacing w:before="60" w:after="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80"/>
        <w:gridCol w:w="5044"/>
        <w:gridCol w:w="1600"/>
        <w:gridCol w:w="3200"/>
      </w:tblGrid>
      <w:tr>
        <w:tc>
          <w:tcPr>
            <w:tcW w:type="dxa" w:w="38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
            </w:r>
          </w:p>
        </w:tc>
        <w:tc>
          <w:tcPr>
            <w:tcW w:type="dxa" w:w="504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Assumption</w:t>
            </w:r>
          </w:p>
        </w:tc>
        <w:tc>
          <w:tcPr>
            <w:tcW w:type="dxa" w:w="16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Confidence</w:t>
            </w:r>
          </w:p>
        </w:tc>
        <w:tc>
          <w:tcPr>
            <w:tcW w:type="dxa" w:w="32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Basis</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A1</w:t>
            </w:r>
          </w:p>
        </w:tc>
        <w:tc>
          <w:tcPr>
            <w:tcW w:type="dxa" w:w="50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Production data is ~6,800× larger than pre-prod (200TB vs 30GB). This is the dominant scaling factor.</w:t>
            </w:r>
          </w:p>
        </w:tc>
        <w:tc>
          <w:tcPr>
            <w:tcW w:type="dxa" w:w="16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HIGH</w:t>
            </w:r>
          </w:p>
        </w:tc>
        <w:tc>
          <w:tcPr>
            <w:tcW w:type="dxa" w:w="3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Confirmed from production storage inventory.</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A2</w:t>
            </w:r>
          </w:p>
        </w:tc>
        <w:tc>
          <w:tcPr>
            <w:tcW w:type="dxa" w:w="50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RMAN channels scaled from 8 (pre-prod) to 32 in production, enabled by 6× more CPU (48 vs 8 cores). Net effect: ~4× throughput improvement.</w:t>
            </w:r>
          </w:p>
        </w:tc>
        <w:tc>
          <w:tcPr>
            <w:tcW w:type="dxa" w:w="16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MEDIUM</w:t>
            </w:r>
          </w:p>
        </w:tc>
        <w:tc>
          <w:tcPr>
            <w:tcW w:type="dxa" w:w="3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Production server capacity confirmed. Subject to Cohesity cluster channel limit — to be verified.</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A3</w:t>
            </w:r>
          </w:p>
        </w:tc>
        <w:tc>
          <w:tcPr>
            <w:tcW w:type="dxa" w:w="50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Net restore time estimate: 6,800× more data offset by 4× more parallelism = ~1,700× longer raw restore than pre-prod (before bandwidth effect).</w:t>
            </w:r>
          </w:p>
        </w:tc>
        <w:tc>
          <w:tcPr>
            <w:tcW w:type="dxa" w:w="16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MEDIUM</w:t>
            </w:r>
          </w:p>
        </w:tc>
        <w:tc>
          <w:tcPr>
            <w:tcW w:type="dxa" w:w="3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Linear scaling model. Actual result depends on Cohesity cluster I/O and network bandwidth — both unconfirmed at production scale.</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A4</w:t>
            </w:r>
          </w:p>
        </w:tc>
        <w:tc>
          <w:tcPr>
            <w:tcW w:type="dxa" w:w="50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12-hour RTO is achievable only for Tier 1 (critical schemas ~10–30TB), not a full 200TB restore. Tiered recovery is the accepted production strategy.</w:t>
            </w:r>
          </w:p>
        </w:tc>
        <w:tc>
          <w:tcPr>
            <w:tcW w:type="dxa" w:w="16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HIGH</w:t>
            </w:r>
          </w:p>
        </w:tc>
        <w:tc>
          <w:tcPr>
            <w:tcW w:type="dxa" w:w="3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Standard Oracle RMAN Capability. Critical schemas typically 5–15% of total DB size.</w:t>
            </w:r>
          </w:p>
        </w:tc>
      </w:tr>
    </w:tbl>
    <w:p>
      <w:pPr>
        <w:spacing w:before="100" w:after="0"/>
      </w:pPr>
      <w:r>
        <w:t xml:space="preserve"/>
      </w:r>
    </w:p>
    <w:p>
      <w:pPr>
        <w:pStyle w:val="Heading1"/>
        <w:pBdr>
          <w:bottom w:val="single" w:color="1D4ED8" w:sz="6" w:space="1"/>
        </w:pBdr>
        <w:spacing w:before="200" w:after="80"/>
      </w:pPr>
      <w:r>
        <w:rPr>
          <w:rFonts w:ascii="Calibri" w:cs="Calibri" w:eastAsia="Calibri" w:hAnsi="Calibri"/>
          <w:b/>
          <w:bCs/>
          <w:color w:val="1B2A4A"/>
          <w:sz w:val="26"/>
          <w:szCs w:val="26"/>
        </w:rPr>
        <w:t xml:space="preserve">7. Key Risk — Infrastructure Limitation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5024"/>
        <w:gridCol w:w="3600"/>
      </w:tblGrid>
      <w:tr>
        <w:tc>
          <w:tcPr>
            <w:tcW w:type="dxa" w:w="16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Risk ID</w:t>
            </w:r>
          </w:p>
        </w:tc>
        <w:tc>
          <w:tcPr>
            <w:tcW w:type="dxa" w:w="50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Risk Description</w:t>
            </w:r>
          </w:p>
        </w:tc>
        <w:tc>
          <w:tcPr>
            <w:tcW w:type="dxa" w:w="36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Mitigation &amp; Status</w:t>
            </w:r>
          </w:p>
        </w:tc>
      </w:tr>
      <w:tr>
        <w:tc>
          <w:tcPr>
            <w:tcW w:type="dxa" w:w="1600"/>
            <w:tcBorders>
              <w:top w:val="single" w:color="CBD5E1" w:sz="1"/>
              <w:left w:val="single" w:color="CBD5E1" w:sz="1"/>
              <w:bottom w:val="single" w:color="CBD5E1" w:sz="1"/>
              <w:right w:val="single" w:color="CBD5E1" w:sz="1"/>
            </w:tcBorders>
            <w:shd w:fill="FEE2E2" w:val="clear"/>
            <w:tcMar>
              <w:top w:type="dxa" w:w="85"/>
              <w:left w:type="dxa" w:w="120"/>
              <w:bottom w:type="dxa" w:w="85"/>
              <w:right w:type="dxa" w:w="120"/>
            </w:tcMar>
            <w:vAlign w:val="center"/>
          </w:tcPr>
          <w:p>
            <w:pPr>
              <w:jc w:val="center"/>
            </w:pPr>
            <w:r>
              <w:rPr>
                <w:rFonts w:ascii="Calibri" w:cs="Calibri" w:eastAsia="Calibri" w:hAnsi="Calibri"/>
                <w:b/>
                <w:bCs/>
                <w:color w:val="991B1B"/>
                <w:sz w:val="19"/>
                <w:szCs w:val="19"/>
              </w:rPr>
              <w:t xml:space="preserve">R-003</w:t>
            </w:r>
          </w:p>
        </w:tc>
        <w:tc>
          <w:tcPr>
            <w:tcW w:type="dxa" w:w="5024"/>
            <w:tcBorders>
              <w:top w:val="single" w:color="CBD5E1" w:sz="1"/>
              <w:left w:val="single" w:color="CBD5E1" w:sz="1"/>
              <w:bottom w:val="single" w:color="CBD5E1" w:sz="1"/>
              <w:right w:val="single" w:color="CBD5E1" w:sz="1"/>
            </w:tcBorders>
            <w:shd w:fill="FEE2E2"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No production-scale DR test infrastructure currently exists. There is no environment available to perform a 200TB recovery test. All production RTO estimates in Section 6 are extrapolated from a 30GB pre-production test and have not been empirically validated at production scale. This is a known and accepted limitation of the current testing programme.</w:t>
            </w:r>
          </w:p>
        </w:tc>
        <w:tc>
          <w:tcPr>
            <w:tcW w:type="dxa" w:w="36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Acknowledged and disclosed to audit. A business case for a dedicated production DR test environment (or cloud-based DR target) will be submitted to IT leadership. A production-scale recovery drill will be scheduled once the environment is available. Until then, Tier 1 tiered recovery estimates remain directional only.</w:t>
            </w:r>
          </w:p>
        </w:tc>
      </w:tr>
    </w:tbl>
    <w:p>
      <w:pPr>
        <w:spacing w:before="70" w:after="0"/>
      </w:pPr>
      <w:r>
        <w:t xml:space="preserve"/>
      </w:r>
    </w:p>
    <w:p>
      <w:pPr>
        <w:pBdr>
          <w:left w:val="single" w:color="991B1B" w:sz="14" w:space="5"/>
        </w:pBdr>
        <w:shd w:fill="FEE2E2" w:val="clear"/>
        <w:spacing w:before="70" w:after="70"/>
        <w:ind w:left="160" w:right="160"/>
      </w:pPr>
      <w:r>
        <w:rPr>
          <w:rFonts w:ascii="Calibri" w:cs="Calibri" w:eastAsia="Calibri" w:hAnsi="Calibri"/>
          <w:i/>
          <w:iCs/>
          <w:color w:val="1E293B"/>
          <w:sz w:val="19"/>
          <w:szCs w:val="19"/>
        </w:rPr>
        <w:t xml:space="preserve">Audit Disclosure — R-003: The DBA team proactively discloses that production RTO estimates cannot be empirically validated at this time due to the absence of a production-equivalent DR test environment. This gap is being actively remediated through a planned infrastructure business case.</w:t>
      </w:r>
    </w:p>
    <w:p>
      <w:pPr>
        <w:spacing w:before="90" w:after="0"/>
      </w:pPr>
      <w:r>
        <w:t xml:space="preserve"/>
      </w:r>
    </w:p>
    <w:p>
      <w:pPr>
        <w:pStyle w:val="Heading1"/>
        <w:pBdr>
          <w:bottom w:val="single" w:color="1D4ED8" w:sz="6" w:space="1"/>
        </w:pBdr>
        <w:spacing w:before="200" w:after="80"/>
      </w:pPr>
      <w:r>
        <w:rPr>
          <w:rFonts w:ascii="Calibri" w:cs="Calibri" w:eastAsia="Calibri" w:hAnsi="Calibri"/>
          <w:b/>
          <w:bCs/>
          <w:color w:val="1B2A4A"/>
          <w:sz w:val="26"/>
          <w:szCs w:val="26"/>
        </w:rPr>
        <w:t xml:space="preserve">8. Open Items &amp; Next Steps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80"/>
        <w:gridCol w:w="4244"/>
        <w:gridCol w:w="2200"/>
        <w:gridCol w:w="1600"/>
        <w:gridCol w:w="1800"/>
      </w:tblGrid>
      <w:tr>
        <w:tc>
          <w:tcPr>
            <w:tcW w:type="dxa" w:w="38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
            </w:r>
          </w:p>
        </w:tc>
        <w:tc>
          <w:tcPr>
            <w:tcW w:type="dxa" w:w="424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Action</w:t>
            </w:r>
          </w:p>
        </w:tc>
        <w:tc>
          <w:tcPr>
            <w:tcW w:type="dxa" w:w="22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Owner</w:t>
            </w:r>
          </w:p>
        </w:tc>
        <w:tc>
          <w:tcPr>
            <w:tcW w:type="dxa" w:w="16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Target</w:t>
            </w:r>
          </w:p>
        </w:tc>
        <w:tc>
          <w:tcPr>
            <w:tcW w:type="dxa" w:w="18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Priority</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1</w:t>
            </w:r>
          </w:p>
        </w:tc>
        <w:tc>
          <w:tcPr>
            <w:tcW w:type="dxa" w:w="42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Confirm production Cohesity network bandwidth to validate restore time estimates</w:t>
            </w:r>
          </w:p>
        </w:tc>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 Network Team</w:t>
            </w:r>
          </w:p>
        </w:tc>
        <w:tc>
          <w:tcPr>
            <w:tcW w:type="dxa" w:w="1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[D+14]</w:t>
            </w:r>
          </w:p>
        </w:tc>
        <w:tc>
          <w:tcPr>
            <w:tcW w:type="dxa" w:w="1800"/>
            <w:tcBorders>
              <w:top w:val="single" w:color="CBD5E1" w:sz="1"/>
              <w:left w:val="single" w:color="CBD5E1" w:sz="1"/>
              <w:bottom w:val="single" w:color="CBD5E1" w:sz="1"/>
              <w:right w:val="single" w:color="CBD5E1" w:sz="1"/>
            </w:tcBorders>
            <w:shd w:fill="FEE2E2" w:val="clear"/>
            <w:tcMar>
              <w:top w:type="dxa" w:w="85"/>
              <w:left w:type="dxa" w:w="120"/>
              <w:bottom w:type="dxa" w:w="85"/>
              <w:right w:type="dxa" w:w="120"/>
            </w:tcMar>
            <w:vAlign w:val="center"/>
          </w:tcPr>
          <w:p>
            <w:pPr>
              <w:jc w:val="center"/>
            </w:pPr>
            <w:r>
              <w:rPr>
                <w:rFonts w:ascii="Calibri" w:cs="Calibri" w:eastAsia="Calibri" w:hAnsi="Calibri"/>
                <w:b/>
                <w:bCs/>
                <w:color w:val="991B1B"/>
                <w:sz w:val="19"/>
                <w:szCs w:val="19"/>
              </w:rPr>
              <w:t xml:space="preserve">CRITICAL</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2</w:t>
            </w:r>
          </w:p>
        </w:tc>
        <w:tc>
          <w:tcPr>
            <w:tcW w:type="dxa" w:w="42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Confirm Cohesity cluster max RMAN channel support for production agent</w:t>
            </w:r>
          </w:p>
        </w:tc>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 Backup Team</w:t>
            </w:r>
          </w:p>
        </w:tc>
        <w:tc>
          <w:tcPr>
            <w:tcW w:type="dxa" w:w="1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[D+14]</w:t>
            </w:r>
          </w:p>
        </w:tc>
        <w:tc>
          <w:tcPr>
            <w:tcW w:type="dxa" w:w="1800"/>
            <w:tcBorders>
              <w:top w:val="single" w:color="CBD5E1" w:sz="1"/>
              <w:left w:val="single" w:color="CBD5E1" w:sz="1"/>
              <w:bottom w:val="single" w:color="CBD5E1" w:sz="1"/>
              <w:right w:val="single" w:color="CBD5E1" w:sz="1"/>
            </w:tcBorders>
            <w:shd w:fill="FEE2E2" w:val="clear"/>
            <w:tcMar>
              <w:top w:type="dxa" w:w="85"/>
              <w:left w:type="dxa" w:w="120"/>
              <w:bottom w:type="dxa" w:w="85"/>
              <w:right w:type="dxa" w:w="120"/>
            </w:tcMar>
            <w:vAlign w:val="center"/>
          </w:tcPr>
          <w:p>
            <w:pPr>
              <w:jc w:val="center"/>
            </w:pPr>
            <w:r>
              <w:rPr>
                <w:rFonts w:ascii="Calibri" w:cs="Calibri" w:eastAsia="Calibri" w:hAnsi="Calibri"/>
                <w:b/>
                <w:bCs/>
                <w:color w:val="991B1B"/>
                <w:sz w:val="19"/>
                <w:szCs w:val="19"/>
              </w:rPr>
              <w:t xml:space="preserve">CRITICAL</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3</w:t>
            </w:r>
          </w:p>
        </w:tc>
        <w:tc>
          <w:tcPr>
            <w:tcW w:type="dxa" w:w="42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Obtain formal ZSD-PROD business owner sign-off on RTO / RPO values</w:t>
            </w:r>
          </w:p>
        </w:tc>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 Business Unit</w:t>
            </w:r>
          </w:p>
        </w:tc>
        <w:tc>
          <w:tcPr>
            <w:tcW w:type="dxa" w:w="1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[D+21]</w:t>
            </w:r>
          </w:p>
        </w:tc>
        <w:tc>
          <w:tcPr>
            <w:tcW w:type="dxa" w:w="18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HIGH</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4</w:t>
            </w:r>
          </w:p>
        </w:tc>
        <w:tc>
          <w:tcPr>
            <w:tcW w:type="dxa" w:w="42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Define and document Tier 1 critical tablespace / schema list for ZSD-PROD</w:t>
            </w:r>
          </w:p>
        </w:tc>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Lead</w:t>
            </w:r>
          </w:p>
        </w:tc>
        <w:tc>
          <w:tcPr>
            <w:tcW w:type="dxa" w:w="1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[D+21]</w:t>
            </w:r>
          </w:p>
        </w:tc>
        <w:tc>
          <w:tcPr>
            <w:tcW w:type="dxa" w:w="18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HIGH</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5</w:t>
            </w:r>
          </w:p>
        </w:tc>
        <w:tc>
          <w:tcPr>
            <w:tcW w:type="dxa" w:w="42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Submit business case for production-scale DR test environment (R-003)</w:t>
            </w:r>
          </w:p>
        </w:tc>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 IT Management</w:t>
            </w:r>
          </w:p>
        </w:tc>
        <w:tc>
          <w:tcPr>
            <w:tcW w:type="dxa" w:w="1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[D+60]</w:t>
            </w:r>
          </w:p>
        </w:tc>
        <w:tc>
          <w:tcPr>
            <w:tcW w:type="dxa" w:w="18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HIGH</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6</w:t>
            </w:r>
          </w:p>
        </w:tc>
        <w:tc>
          <w:tcPr>
            <w:tcW w:type="dxa" w:w="42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Execute production Tier 1 recovery drill once DR environment available</w:t>
            </w:r>
          </w:p>
        </w:tc>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 Infra Team</w:t>
            </w:r>
          </w:p>
        </w:tc>
        <w:tc>
          <w:tcPr>
            <w:tcW w:type="dxa" w:w="1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Post D+60</w:t>
            </w:r>
          </w:p>
        </w:tc>
        <w:tc>
          <w:tcPr>
            <w:tcW w:type="dxa" w:w="18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D4ED8"/>
                <w:sz w:val="19"/>
                <w:szCs w:val="19"/>
              </w:rPr>
              <w:t xml:space="preserve">PLANNED</w:t>
            </w:r>
          </w:p>
        </w:tc>
      </w:tr>
    </w:tbl>
    <w:p>
      <w:pPr>
        <w:spacing w:before="90" w:after="0"/>
      </w:pPr>
      <w:r>
        <w:t xml:space="preserve"/>
      </w:r>
    </w:p>
    <w:p>
      <w:pPr>
        <w:pStyle w:val="Heading1"/>
        <w:pBdr>
          <w:bottom w:val="single" w:color="1D4ED8" w:sz="6" w:space="1"/>
        </w:pBdr>
        <w:spacing w:before="200" w:after="80"/>
      </w:pPr>
      <w:r>
        <w:rPr>
          <w:rFonts w:ascii="Calibri" w:cs="Calibri" w:eastAsia="Calibri" w:hAnsi="Calibri"/>
          <w:b/>
          <w:bCs/>
          <w:color w:val="1B2A4A"/>
          <w:sz w:val="26"/>
          <w:szCs w:val="26"/>
        </w:rPr>
        <w:t xml:space="preserve">9. Document Approval</w:t>
      </w:r>
    </w:p>
    <w:p>
      <w:pPr>
        <w:spacing w:before="50" w:after="50"/>
      </w:pPr>
      <w:r>
        <w:rPr>
          <w:rFonts w:ascii="Calibri" w:cs="Calibri" w:eastAsia="Calibri" w:hAnsi="Calibri"/>
          <w:b w:val="false"/>
          <w:bCs w:val="false"/>
          <w:color w:val="1E293B"/>
          <w:sz w:val="20"/>
          <w:szCs w:val="20"/>
        </w:rPr>
        <w:t xml:space="preserve">Sign-off required before submission as formal audit evidence for MRA-002 remediation closure.</w:t>
      </w:r>
    </w:p>
    <w:p>
      <w:pPr>
        <w:spacing w:before="60" w:after="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24"/>
        <w:gridCol w:w="2400"/>
        <w:gridCol w:w="2400"/>
        <w:gridCol w:w="1300"/>
        <w:gridCol w:w="1100"/>
      </w:tblGrid>
      <w:tr>
        <w:tc>
          <w:tcPr>
            <w:tcW w:type="dxa" w:w="30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Role</w:t>
            </w:r>
          </w:p>
        </w:tc>
        <w:tc>
          <w:tcPr>
            <w:tcW w:type="dxa" w:w="24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Name</w:t>
            </w:r>
          </w:p>
        </w:tc>
        <w:tc>
          <w:tcPr>
            <w:tcW w:type="dxa" w:w="24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Signature / Approval</w:t>
            </w:r>
          </w:p>
        </w:tc>
        <w:tc>
          <w:tcPr>
            <w:tcW w:type="dxa" w:w="13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Date</w:t>
            </w:r>
          </w:p>
        </w:tc>
        <w:tc>
          <w:tcPr>
            <w:tcW w:type="dxa" w:w="11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Status</w:t>
            </w:r>
          </w:p>
        </w:tc>
      </w:tr>
      <w:tr>
        <w:tc>
          <w:tcPr>
            <w:tcW w:type="dxa" w:w="30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DBA Lead / Document Owner</w:t>
            </w:r>
          </w:p>
        </w:tc>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[Name]</w:t>
            </w:r>
          </w:p>
        </w:tc>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
            </w:r>
          </w:p>
        </w:tc>
        <w:tc>
          <w:tcPr>
            <w:tcW w:type="dxa" w:w="1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[Date]</w:t>
            </w:r>
          </w:p>
        </w:tc>
        <w:tc>
          <w:tcPr>
            <w:tcW w:type="dxa" w:w="11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PENDING</w:t>
            </w:r>
          </w:p>
        </w:tc>
      </w:tr>
      <w:tr>
        <w:tc>
          <w:tcPr>
            <w:tcW w:type="dxa" w:w="30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IT Security / Risk Manager</w:t>
            </w:r>
          </w:p>
        </w:tc>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[Name]</w:t>
            </w:r>
          </w:p>
        </w:tc>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[Date]</w:t>
            </w:r>
          </w:p>
        </w:tc>
        <w:tc>
          <w:tcPr>
            <w:tcW w:type="dxa" w:w="11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PENDING</w:t>
            </w:r>
          </w:p>
        </w:tc>
      </w:tr>
      <w:tr>
        <w:tc>
          <w:tcPr>
            <w:tcW w:type="dxa" w:w="30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ZSD-PROD Business Owner</w:t>
            </w:r>
          </w:p>
        </w:tc>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[Name — TBC]</w:t>
            </w:r>
          </w:p>
        </w:tc>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
            </w:r>
          </w:p>
        </w:tc>
        <w:tc>
          <w:tcPr>
            <w:tcW w:type="dxa" w:w="1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[Date]</w:t>
            </w:r>
          </w:p>
        </w:tc>
        <w:tc>
          <w:tcPr>
            <w:tcW w:type="dxa" w:w="11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PENDING</w:t>
            </w:r>
          </w:p>
        </w:tc>
      </w:tr>
      <w:tr>
        <w:tc>
          <w:tcPr>
            <w:tcW w:type="dxa" w:w="30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Internal Audit Representative</w:t>
            </w:r>
          </w:p>
        </w:tc>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[Name]</w:t>
            </w:r>
          </w:p>
        </w:tc>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
            </w:r>
          </w:p>
        </w:tc>
        <w:tc>
          <w:tcPr>
            <w:tcW w:type="dxa" w:w="1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[Date]</w:t>
            </w:r>
          </w:p>
        </w:tc>
        <w:tc>
          <w:tcPr>
            <w:tcW w:type="dxa" w:w="11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PENDING</w:t>
            </w:r>
          </w:p>
        </w:tc>
      </w:tr>
    </w:tbl>
    <w:sectPr>
      <w:headerReference w:type="default" r:id="rId6"/>
      <w:footerReference w:type="default" r:id="rId7"/>
      <w:pgSz w:w="12240" w:h="15840" w:orient="portrait"/>
      <w:pgMar w:top="860" w:right="1008" w:bottom="86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50"/>
      <w:jc w:val="center"/>
    </w:pPr>
    <w:r>
      <w:rPr>
        <w:rFonts w:ascii="Calibri" w:cs="Calibri" w:eastAsia="Calibri" w:hAnsi="Calibri"/>
        <w:color w:val="475569"/>
        <w:sz w:val="17"/>
        <w:szCs w:val="17"/>
      </w:rPr>
      <w:t xml:space="preserve">IT Infrastructure &amp; DBA Team  |  Internal Use Only  |  Page </w:t>
    </w:r>
    <w:r>
      <w:rPr>
        <w:rFonts w:ascii="Calibri" w:cs="Calibri" w:eastAsia="Calibri" w:hAnsi="Calibri"/>
        <w:color w:val="475569"/>
        <w:sz w:val="17"/>
        <w:szCs w:val="17"/>
      </w:rPr>
      <w:fldChar w:fldCharType="begin"/>
      <w:instrText xml:space="preserve">PAGE</w:instrText>
      <w:fldChar w:fldCharType="separate"/>
      <w:fldChar w:fldCharType="end"/>
    </w:r>
    <w:r>
      <w:rPr>
        <w:rFonts w:ascii="Calibri" w:cs="Calibri" w:eastAsia="Calibri" w:hAnsi="Calibri"/>
        <w:color w:val="475569"/>
        <w:sz w:val="17"/>
        <w:szCs w:val="17"/>
      </w:rPr>
      <w:t xml:space="preserve"> of </w:t>
    </w:r>
    <w:r>
      <w:rPr>
        <w:rFonts w:ascii="Calibri" w:cs="Calibri" w:eastAsia="Calibri" w:hAnsi="Calibri"/>
        <w:color w:val="47556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1"/>
      </w:pBdr>
      <w:spacing w:before="0" w:after="70"/>
    </w:pPr>
    <w:r>
      <w:rPr>
        <w:rFonts w:ascii="Calibri" w:cs="Calibri" w:eastAsia="Calibri" w:hAnsi="Calibri"/>
        <w:color w:val="475569"/>
        <w:sz w:val="17"/>
        <w:szCs w:val="17"/>
      </w:rPr>
      <w:t xml:space="preserve">ZSD-PROD Oracle Database  |  RTO Establishment &amp; Recovery Evidence  |  Audit Remediation: MRA-002</w:t>
    </w:r>
    <w:r>
      <w:rPr>
        <w:rFonts w:ascii="Calibri" w:cs="Calibri" w:eastAsia="Calibri" w:hAnsi="Calibri"/>
        <w:b/>
        <w:bCs/>
        <w:color w:val="991B1B"/>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80"/>
      <w:outlineLvl w:val="0"/>
    </w:pPr>
    <w:rPr>
      <w:rFonts w:ascii="Calibri" w:cs="Calibri" w:eastAsia="Calibri" w:hAnsi="Calibri"/>
      <w:b/>
      <w:bCs/>
      <w:sz w:val="26"/>
      <w:szCs w:val="26"/>
    </w:rPr>
  </w:style>
  <w:style w:type="paragraph" w:styleId="Heading2">
    <w:name w:val="Heading 2"/>
    <w:basedOn w:val="Normal"/>
    <w:next w:val="Normal"/>
    <w:qFormat/>
    <w:pPr>
      <w:spacing w:before="140" w:after="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2026-03-26T05:30:30.205Z</dcterms:created>
  <dcterms:modified xsi:type="dcterms:W3CDTF">2026-03-26T05:30:30.205Z</dcterms:modified>
</cp:coreProperties>
</file>

<file path=docProps/custom.xml><?xml version="1.0" encoding="utf-8"?>
<Properties xmlns="http://schemas.openxmlformats.org/officeDocument/2006/custom-properties" xmlns:vt="http://schemas.openxmlformats.org/officeDocument/2006/docPropsVTypes"/>
</file>