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jc w:val="center"/>
      </w:pPr>
      <w:r>
        <w:rPr>
          <w:rFonts w:ascii="Arial" w:cs="Arial" w:eastAsia="Arial" w:hAnsi="Arial"/>
          <w:b/>
          <w:bCs/>
          <w:color w:val="1F4E79"/>
          <w:sz w:val="52"/>
          <w:szCs w:val="52"/>
        </w:rPr>
        <w:t xml:space="preserve">Oracle Database Backup Migration</w:t>
      </w:r>
    </w:p>
    <w:p>
      <w:pPr>
        <w:spacing w:before="0" w:after="60"/>
        <w:jc w:val="center"/>
      </w:pPr>
      <w:r>
        <w:rPr>
          <w:rFonts w:ascii="Arial" w:cs="Arial" w:eastAsia="Arial" w:hAnsi="Arial"/>
          <w:b/>
          <w:bCs/>
          <w:color w:val="2E75B6"/>
          <w:sz w:val="32"/>
          <w:szCs w:val="32"/>
        </w:rPr>
        <w:t xml:space="preserve">RMAN/NFS  vs  Cohesity Agent Adapter  vs  Cohesity SBT Plugin</w:t>
      </w:r>
    </w:p>
    <w:p>
      <w:pPr>
        <w:pBdr>
          <w:bottom w:val="single" w:color="2E75B6" w:sz="6" w:space="1"/>
        </w:pBdr>
        <w:spacing w:before="20" w:after="40"/>
        <w:jc w:val="center"/>
      </w:pPr>
      <w:r>
        <w:rPr>
          <w:rFonts w:ascii="Arial" w:cs="Arial" w:eastAsia="Arial" w:hAnsi="Arial"/>
          <w:color w:val="555555"/>
          <w:sz w:val="20"/>
          <w:szCs w:val="20"/>
        </w:rPr>
        <w:t xml:space="preserve">Technical Assessment, Performance &amp; Feature Comparison  |  March 12, 2026</w:t>
      </w:r>
    </w:p>
    <w:p>
      <w:pPr>
        <w:spacing w:before="300"/>
      </w:pPr>
    </w:p>
    <w:p>
      <w:pPr>
        <w:pStyle w:val="Heading1"/>
        <w:spacing w:before="280" w:after="140"/>
      </w:pPr>
      <w:r>
        <w:rPr>
          <w:rFonts w:ascii="Arial" w:cs="Arial" w:eastAsia="Arial" w:hAnsi="Arial"/>
          <w:b/>
          <w:bCs/>
          <w:color w:val="1F4E79"/>
          <w:sz w:val="28"/>
          <w:szCs w:val="28"/>
        </w:rPr>
        <w:t xml:space="preserve">1. Executive Summary</w:t>
      </w:r>
    </w:p>
    <w:p>
      <w:pPr>
        <w:spacing w:before="60" w:after="100"/>
      </w:pPr>
      <w:r>
        <w:rPr>
          <w:rFonts w:ascii="Arial" w:cs="Arial" w:eastAsia="Arial" w:hAnsi="Arial"/>
          <w:color w:val="333333"/>
          <w:sz w:val="20"/>
          <w:szCs w:val="20"/>
        </w:rPr>
        <w:t xml:space="preserve">This document evaluates the migration of Oracle Database backup operations from the current Oracle RMAN solution using NFS-mounted shares to Cohesity DataProtect. Two distinct Cohesity integration methods are assessed side-by-side: the Cohesity Agent Adapter and the Cohesity SBT (System Backup to Tape) Plugin. Both methods are currently under active testing in the environment.</w:t>
      </w:r>
    </w:p>
    <w:p>
      <w:pPr>
        <w:spacing w:before="60" w:after="100"/>
      </w:pPr>
      <w:r>
        <w:rPr>
          <w:rFonts w:ascii="Arial" w:cs="Arial" w:eastAsia="Arial" w:hAnsi="Arial"/>
          <w:color w:val="333333"/>
          <w:sz w:val="20"/>
          <w:szCs w:val="20"/>
        </w:rPr>
        <w:t xml:space="preserve">The document provides a comprehensive performance comparison across all three approaches, a detailed feature analysis, and a pros/cons evaluation of both Cohesity methods to guide the selection decision for production deployment.</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2. Current Backup Architecture: Oracle RMAN + NFS</w:t>
      </w:r>
    </w:p>
    <w:p>
      <w:pPr>
        <w:pStyle w:val="Heading2"/>
        <w:spacing w:before="200" w:after="100"/>
      </w:pPr>
      <w:r>
        <w:rPr>
          <w:rFonts w:ascii="Arial" w:cs="Arial" w:eastAsia="Arial" w:hAnsi="Arial"/>
          <w:b/>
          <w:bCs/>
          <w:color w:val="2E75B6"/>
          <w:sz w:val="24"/>
          <w:szCs w:val="24"/>
        </w:rPr>
        <w:t xml:space="preserve">2.1 Overview</w:t>
      </w:r>
    </w:p>
    <w:p>
      <w:pPr>
        <w:spacing w:before="60" w:after="100"/>
      </w:pPr>
      <w:r>
        <w:rPr>
          <w:rFonts w:ascii="Arial" w:cs="Arial" w:eastAsia="Arial" w:hAnsi="Arial"/>
          <w:color w:val="333333"/>
          <w:sz w:val="20"/>
          <w:szCs w:val="20"/>
        </w:rPr>
        <w:t xml:space="preserve">The existing backup architecture uses Oracle RMAN with backups streamed to NFS-mounted NAS storage. Typical configuration includes weekly full backups, nightly incremental Level 0/1 backups, and archivelog backups every 30–60 minutes. Retention is 30 days on NFS.</w:t>
      </w:r>
    </w:p>
    <w:p>
      <w:pPr>
        <w:pStyle w:val="Heading2"/>
        <w:spacing w:before="200" w:after="100"/>
      </w:pPr>
      <w:r>
        <w:rPr>
          <w:rFonts w:ascii="Arial" w:cs="Arial" w:eastAsia="Arial" w:hAnsi="Arial"/>
          <w:b/>
          <w:bCs/>
          <w:color w:val="2E75B6"/>
          <w:sz w:val="24"/>
          <w:szCs w:val="24"/>
        </w:rPr>
        <w:t xml:space="preserve">2.2 Key Pain Points</w:t>
      </w:r>
    </w:p>
    <w:p>
      <w:pPr>
        <w:pStyle w:val="ListParagraph"/>
        <w:numPr>
          <w:ilvl w:val="0"/>
          <w:numId w:val="2"/>
        </w:numPr>
        <w:spacing w:before="40" w:after="40"/>
      </w:pPr>
      <w:r>
        <w:rPr>
          <w:rFonts w:ascii="Arial" w:cs="Arial" w:eastAsia="Arial" w:hAnsi="Arial"/>
          <w:color w:val="333333"/>
          <w:sz w:val="19"/>
          <w:szCs w:val="19"/>
        </w:rPr>
        <w:t xml:space="preserve">Long backup windows (4–6 hours for full backups on 500 GB+ databases)</w:t>
      </w:r>
    </w:p>
    <w:p>
      <w:pPr>
        <w:pStyle w:val="ListParagraph"/>
        <w:numPr>
          <w:ilvl w:val="0"/>
          <w:numId w:val="2"/>
        </w:numPr>
        <w:spacing w:before="40" w:after="40"/>
      </w:pPr>
      <w:r>
        <w:rPr>
          <w:rFonts w:ascii="Arial" w:cs="Arial" w:eastAsia="Arial" w:hAnsi="Arial"/>
          <w:color w:val="333333"/>
          <w:sz w:val="19"/>
          <w:szCs w:val="19"/>
        </w:rPr>
        <w:t xml:space="preserve">No deduplication — NFS storage grows at 100% year-over-year</w:t>
      </w:r>
    </w:p>
    <w:p>
      <w:pPr>
        <w:pStyle w:val="ListParagraph"/>
        <w:numPr>
          <w:ilvl w:val="0"/>
          <w:numId w:val="2"/>
        </w:numPr>
        <w:spacing w:before="40" w:after="40"/>
      </w:pPr>
      <w:r>
        <w:rPr>
          <w:rFonts w:ascii="Arial" w:cs="Arial" w:eastAsia="Arial" w:hAnsi="Arial"/>
          <w:color w:val="333333"/>
          <w:sz w:val="19"/>
          <w:szCs w:val="19"/>
        </w:rPr>
        <w:t xml:space="preserve">No ransomware protection — NFS shares are network-accessible and mutable</w:t>
      </w:r>
    </w:p>
    <w:p>
      <w:pPr>
        <w:pStyle w:val="ListParagraph"/>
        <w:numPr>
          <w:ilvl w:val="0"/>
          <w:numId w:val="2"/>
        </w:numPr>
        <w:spacing w:before="40" w:after="40"/>
      </w:pPr>
      <w:r>
        <w:rPr>
          <w:rFonts w:ascii="Arial" w:cs="Arial" w:eastAsia="Arial" w:hAnsi="Arial"/>
          <w:color w:val="333333"/>
          <w:sz w:val="19"/>
          <w:szCs w:val="19"/>
        </w:rPr>
        <w:t xml:space="preserve">Manual DR replication — no built-in multi-site or cloud tiering</w:t>
      </w:r>
    </w:p>
    <w:p>
      <w:pPr>
        <w:pStyle w:val="ListParagraph"/>
        <w:numPr>
          <w:ilvl w:val="0"/>
          <w:numId w:val="2"/>
        </w:numPr>
        <w:spacing w:before="40" w:after="40"/>
      </w:pPr>
      <w:r>
        <w:rPr>
          <w:rFonts w:ascii="Arial" w:cs="Arial" w:eastAsia="Arial" w:hAnsi="Arial"/>
          <w:color w:val="333333"/>
          <w:sz w:val="19"/>
          <w:szCs w:val="19"/>
        </w:rPr>
        <w:t xml:space="preserve">Slow recovery — RTO of 4–8 hours; no granular object recovery</w:t>
      </w:r>
    </w:p>
    <w:p>
      <w:pPr>
        <w:pStyle w:val="ListParagraph"/>
        <w:numPr>
          <w:ilvl w:val="0"/>
          <w:numId w:val="2"/>
        </w:numPr>
        <w:spacing w:before="40" w:after="40"/>
      </w:pPr>
      <w:r>
        <w:rPr>
          <w:rFonts w:ascii="Arial" w:cs="Arial" w:eastAsia="Arial" w:hAnsi="Arial"/>
          <w:color w:val="333333"/>
          <w:sz w:val="19"/>
          <w:szCs w:val="19"/>
        </w:rPr>
        <w:t xml:space="preserve">Operational complexity — managed via shell scripts and cron jobs with limited visibility</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3. Cohesity Integration Methods Overview</w:t>
      </w:r>
    </w:p>
    <w:p>
      <w:pPr>
        <w:pStyle w:val="Heading2"/>
        <w:spacing w:before="200" w:after="100"/>
      </w:pPr>
      <w:r>
        <w:rPr>
          <w:rFonts w:ascii="Arial" w:cs="Arial" w:eastAsia="Arial" w:hAnsi="Arial"/>
          <w:b/>
          <w:bCs/>
          <w:color w:val="2E75B6"/>
          <w:sz w:val="24"/>
          <w:szCs w:val="24"/>
        </w:rPr>
        <w:t xml:space="preserve">3.1 Cohesity Agent Adapter</w:t>
      </w:r>
    </w:p>
    <w:p>
      <w:pPr>
        <w:spacing w:before="60" w:after="100"/>
      </w:pPr>
      <w:r>
        <w:rPr>
          <w:rFonts w:ascii="Arial" w:cs="Arial" w:eastAsia="Arial" w:hAnsi="Arial"/>
          <w:color w:val="333333"/>
          <w:sz w:val="20"/>
          <w:szCs w:val="20"/>
        </w:rPr>
        <w:t xml:space="preserve">The Cohesity Agent Adapter deploys a lightweight software agent on each Oracle database server. The agent communicates directly with the Cohesity cluster and uses a proprietary Change Block Tracking (CBT) mechanism to identify and back up only changed data blocks since the last backup. It is application-aware and can interact with Oracle to perform application-consistent snapshots, automatic archivelog management, and instant live mount recovery via Cohesity's SpanFS technology.</w:t>
      </w:r>
    </w:p>
    <w:p>
      <w:pPr>
        <w:pStyle w:val="Heading2"/>
        <w:spacing w:before="200" w:after="100"/>
      </w:pPr>
      <w:r>
        <w:rPr>
          <w:rFonts w:ascii="Arial" w:cs="Arial" w:eastAsia="Arial" w:hAnsi="Arial"/>
          <w:b/>
          <w:bCs/>
          <w:color w:val="2E75B6"/>
          <w:sz w:val="24"/>
          <w:szCs w:val="24"/>
        </w:rPr>
        <w:t xml:space="preserve">3.2 Cohesity SBT Plugin</w:t>
      </w:r>
    </w:p>
    <w:p>
      <w:pPr>
        <w:spacing w:before="60" w:after="100"/>
      </w:pPr>
      <w:r>
        <w:rPr>
          <w:rFonts w:ascii="Arial" w:cs="Arial" w:eastAsia="Arial" w:hAnsi="Arial"/>
          <w:color w:val="333333"/>
          <w:sz w:val="20"/>
          <w:szCs w:val="20"/>
        </w:rPr>
        <w:t xml:space="preserve">The Cohesity SBT Plugin leverages the Oracle System Backup to Tape (SBT) API — the same standard interface used by enterprise backup products such as NetBackup and Commvault. It registers Cohesity as a media server within RMAN. Existing RMAN backup scripts require only minor changes to redirect backup streams from NFS to the Cohesity cluster. No additional agent software is installed on DB servers; the integration is entirely via RMAN channel configuration.</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4. Performance Comparison: All Three Methods</w:t>
      </w:r>
    </w:p>
    <w:p>
      <w:pPr>
        <w:spacing w:before="60" w:after="100"/>
      </w:pPr>
      <w:r>
        <w:rPr>
          <w:rFonts w:ascii="Arial" w:cs="Arial" w:eastAsia="Arial" w:hAnsi="Arial"/>
          <w:color w:val="333333"/>
          <w:sz w:val="20"/>
          <w:szCs w:val="20"/>
        </w:rPr>
        <w:t xml:space="preserve">The following table compares key performance metrics across the existing RMAN/NFS setup and both Cohesity integration methods, based on a reference Oracle environment with approximately 500 GB of data.</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Performance Metric</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RMAN + NFS</w:t>
            </w:r>
          </w:p>
        </w:tc>
        <w:tc>
          <w:tcPr>
            <w:tcW w:type="dxa" w:w="17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Cohesity
Agent Adapter</w:t>
            </w:r>
          </w:p>
        </w:tc>
        <w:tc>
          <w:tcPr>
            <w:tcW w:type="dxa" w:w="1700"/>
            <w:tcBorders>
              <w:top w:val="single" w:color="CCCCCC" w:sz="1"/>
              <w:left w:val="single" w:color="CCCCCC" w:sz="1"/>
              <w:bottom w:val="single" w:color="CCCCCC" w:sz="1"/>
              <w:right w:val="single" w:color="CCCCCC" w:sz="1"/>
            </w:tcBorders>
            <w:shd w:fill="1D6A9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Cohesity
SBT Plugin</w:t>
            </w:r>
          </w:p>
        </w:tc>
        <w:tc>
          <w:tcPr>
            <w:tcW w:type="dxa" w:w="20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Full Backup Duration (500 GB DB)</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4–6 hours</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30–60 min</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45–90 min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uses parallel streams; SBT relies on RMAN channels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Incremental Backup Duration</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60–90 min</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3–10 min</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5–15 min</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leverages CBT (Change Block Tracking); SBT uses RMAN incremental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Backup Throughput</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300–500 MB/s</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2–4 GB/s</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1–3 GB/s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has higher ceiling; SBT bound by RMAN channel count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Deduplication Ratio</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None (raw)</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25:1 – 55:1</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20:1 – 45:1</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leverage Cohesity global dedup; Agent slightly higher due to block-level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Compression Ratio</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2:1 – 4:1</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4:1 – 8:1</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4:1 – 8:1</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Comparable between both Cohesity methods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Recovery Time Objective (RTO)</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4–8 hours</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&lt; 15 minutes</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&lt; 30 minutes</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supports instant mount/recovery; SBT requires RMAN restore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Recovery Point Objective (RPO)</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24 hours</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&lt; 15 minutes</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&lt; 1 hour</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supports continuous/log-based protection; SBT relies on RMAN archivelog schedule</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Network Bandwidth Usage</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High (full transfer)</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Very Low (CBT delta)</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Low (RMAN incremental)</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CBT sends only changed blocks; SBT depends on RMAN level 1 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Storage Utilization (yearly growth)</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~100% growth</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~2–4% effective</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~3–5% effective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dramatically reduce storage via global dedup</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DB Performance Impact During Backup</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Significant I/O overhead</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&lt; 3% CPU/IO overhead</w:t>
            </w:r>
          </w:p>
        </w:tc>
        <w:tc>
          <w:tcPr>
            <w:tcW w:type="dxa" w:w="1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&lt; 8% (RMAN load)</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offloads to Cohesity cluster; SBT inherits RMAN read overhead</w:t>
            </w:r>
          </w:p>
        </w:tc>
      </w:tr>
    </w:tbl>
    <w:p>
      <w:pPr>
        <w:spacing w:before="60"/>
      </w:pPr>
    </w:p>
    <w:p>
      <w:pPr>
        <w:spacing w:before="60" w:after="60"/>
      </w:pPr>
      <w:r>
        <w:rPr>
          <w:rFonts w:ascii="Arial" w:cs="Arial" w:eastAsia="Arial" w:hAnsi="Arial"/>
          <w:i/>
          <w:iCs/>
          <w:color w:val="777777"/>
          <w:sz w:val="17"/>
          <w:szCs w:val="17"/>
        </w:rPr>
        <w:t xml:space="preserve">Note: Performance figures are based on typical enterprise environments and Cohesity-published benchmarks. Results may vary based on database size, change rate, hardware, and network configuration.</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5. Feature &amp; Capability Comparison: All Three Methods</w:t>
      </w:r>
    </w:p>
    <w:p>
      <w:pPr>
        <w:spacing w:before="60" w:after="100"/>
      </w:pPr>
      <w:r>
        <w:rPr>
          <w:rFonts w:ascii="Arial" w:cs="Arial" w:eastAsia="Arial" w:hAnsi="Arial"/>
          <w:color w:val="333333"/>
          <w:sz w:val="20"/>
          <w:szCs w:val="20"/>
        </w:rPr>
        <w:t xml:space="preserve">The table below provides a detailed side-by-side feature comparison across all three backup methods, covering integration depth, recovery capabilities, security, and operational characteristics.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20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Feature / Capability</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RMAN + NFS</w:t>
            </w:r>
          </w:p>
        </w:tc>
        <w:tc>
          <w:tcPr>
            <w:tcW w:type="dxa" w:w="170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Cohesity
Agent Adapter</w:t>
            </w:r>
          </w:p>
        </w:tc>
        <w:tc>
          <w:tcPr>
            <w:tcW w:type="dxa" w:w="1700"/>
            <w:tcBorders>
              <w:top w:val="single" w:color="CCCCCC" w:sz="1"/>
              <w:left w:val="single" w:color="CCCCCC" w:sz="1"/>
              <w:bottom w:val="single" w:color="CCCCCC" w:sz="1"/>
              <w:right w:val="single" w:color="CCCCCC" w:sz="1"/>
            </w:tcBorders>
            <w:shd w:fill="1D6A9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Cohesity
SBT Plugin</w:t>
            </w:r>
          </w:p>
        </w:tc>
        <w:tc>
          <w:tcPr>
            <w:tcW w:type="dxa" w:w="20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Oracle RMAN Integration</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Native RMAN</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Indirect (agent wraps RMAN)</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Full native SBT API</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SBT is the standard Oracle interface; Agent provides additional capabilities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Change Block Tracking (CBT)</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Not available</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agent-level CBT</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No – RMAN incremental only</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CBT is a significant Agent advantage for large, low-change-rate databases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Instant / Live Mount Recovery</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Not supported</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SpanFS instant mount</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Limited (file restore only)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can mount backup directly as a live Oracle DB in minutes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Application-Aware Backup</w:t>
            </w:r>
          </w:p>
        </w:tc>
        <w:tc>
          <w:tcPr>
            <w:tcW w:type="dxa" w:w="1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RMAN-aware only</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full app-aware</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via RMAN SBT</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Cohesity methods ensure crash-consistent, Oracle-aware backups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Granular Object Recovery (Table/Row)</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Not supported</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table-level recovery</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Tablespace / datafile level</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provides finer recovery granularity than SBT</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Log-Based Continuous Protection</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Manual archivelog backup</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automatic log shipping</w:t>
            </w:r>
          </w:p>
        </w:tc>
        <w:tc>
          <w:tcPr>
            <w:tcW w:type="dxa" w:w="1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Scheduled archivelog only</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Agent tracks and ships archivelogs automatically; SBT requires RMAN script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Ransomware / Immutability (DataLock)</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Not supported</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full DataLock</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full DataLock</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Cohesity methods support WORM immutability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Multi-Site DR Replication</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Manual rsync/copy</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Built-in policy-driven</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Built-in policy-driven</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methods leverage Cohesity native replication engine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Cloud Archival (S3/Azure/GCP)</w:t>
            </w:r>
          </w:p>
        </w:tc>
        <w:tc>
          <w:tcPr>
            <w:tcW w:type="dxa" w:w="170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Manual process</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Automated tiering</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Automated tiering</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Identical cloud tiering capability for both Cohesity methods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Centralized Management (Helios)</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None</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Full Helios support</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Full Helios support</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managed via Cohesity Helios SaaS console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Deployment Complexity</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Medium (scripts/cron)</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Medium (agent install)</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Low (RMAN config only)</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SBT requires only RMAN channel config; Agent needs software deployment per DB server</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Oracle RAC Support</w:t>
            </w:r>
          </w:p>
        </w:tc>
        <w:tc>
          <w:tcPr>
            <w:tcW w:type="dxa" w:w="1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Manual multi-node</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full RAC aware</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via RMAN RAC config</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support Oracle RAC; SBT via standard RMAN RAC channel configuration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Oracle DataGuard / Standby Support</w:t>
            </w:r>
          </w:p>
        </w:tc>
        <w:tc>
          <w:tcPr>
            <w:tcW w:type="dxa" w:w="170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vAlign w:val="center"/>
          </w:tcPr>
          <w:p>
            <w:pPr>
              <w:jc w:val="center"/>
            </w:pPr>
            <w:r>
              <w:rPr>
                <w:rFonts w:ascii="Arial" w:cs="Arial" w:eastAsia="Arial" w:hAnsi="Arial"/>
                <w:color w:val="7D6608"/>
                <w:sz w:val="18"/>
                <w:szCs w:val="18"/>
              </w:rPr>
              <w:t xml:space="preserve">Manual</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standby backup</w:t>
            </w:r>
          </w:p>
        </w:tc>
        <w:tc>
          <w:tcPr>
            <w:tcW w:type="dxa" w:w="170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Yes – standby via RMAN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Cohesity methods support offloading backups to standby</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Monitoring &amp; Alerting</w:t>
            </w:r>
          </w:p>
        </w:tc>
        <w:tc>
          <w:tcPr>
            <w:tcW w:type="dxa" w:w="17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vAlign w:val="center"/>
          </w:tcPr>
          <w:p>
            <w:pPr>
              <w:jc w:val="center"/>
            </w:pPr>
            <w:r>
              <w:rPr>
                <w:rFonts w:ascii="Arial" w:cs="Arial" w:eastAsia="Arial" w:hAnsi="Arial"/>
                <w:color w:val="922B21"/>
                <w:sz w:val="18"/>
                <w:szCs w:val="18"/>
              </w:rPr>
              <w:t xml:space="preserve">OS logs / manual</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Real-time dashboards</w:t>
            </w:r>
          </w:p>
        </w:tc>
        <w:tc>
          <w:tcPr>
            <w:tcW w:type="dxa" w:w="170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Real-time dashboards</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Both Cohesity methods provide identical Helios-based monitoring</w:t>
            </w:r>
          </w:p>
        </w:tc>
      </w:tr>
    </w:tbl>
    <w:p>
      <w:pPr>
        <w:spacing w:before="60"/>
      </w:pPr>
    </w:p>
    <w:p>
      <w:pPr>
        <w:spacing w:before="60" w:after="60"/>
      </w:pPr>
      <w:r>
        <w:rPr>
          <w:rFonts w:ascii="Arial" w:cs="Arial" w:eastAsia="Arial" w:hAnsi="Arial"/>
          <w:i/>
          <w:iCs/>
          <w:color w:val="777777"/>
          <w:sz w:val="17"/>
          <w:szCs w:val="17"/>
        </w:rPr>
        <w:t xml:space="preserve">Legend: Green = best-in-class  |  Amber = moderate / conditional  |  Red = not supported or limited</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6. Cohesity Agent Adapter vs SBT Plugin: Detailed Analysis</w:t>
      </w:r>
    </w:p>
    <w:p>
      <w:pPr>
        <w:spacing w:before="60" w:after="100"/>
      </w:pPr>
      <w:r>
        <w:rPr>
          <w:rFonts w:ascii="Arial" w:cs="Arial" w:eastAsia="Arial" w:hAnsi="Arial"/>
          <w:color w:val="333333"/>
          <w:sz w:val="20"/>
          <w:szCs w:val="20"/>
        </w:rPr>
        <w:t xml:space="preserve">While both Cohesity methods offer significant improvements over the existing RMAN/NFS architecture, they differ in architecture, deployment model, and operational characteristics. The following section provides a structured advantages and disadvantages analysis for each approach.</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Cohesity Agent Adapter</w:t>
            </w:r>
          </w:p>
        </w:tc>
        <w:tc>
          <w:tcPr>
            <w:tcW w:type="dxa" w:w="4680"/>
            <w:tcBorders>
              <w:top w:val="single" w:color="CCCCCC" w:sz="1"/>
              <w:left w:val="single" w:color="CCCCCC" w:sz="1"/>
              <w:bottom w:val="single" w:color="CCCCCC" w:sz="1"/>
              <w:right w:val="single" w:color="CCCCCC" w:sz="1"/>
            </w:tcBorders>
            <w:shd w:fill="1D6A9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Cohesity SBT Plugin</w:t>
            </w:r>
          </w:p>
        </w:tc>
      </w:tr>
      <w:tr>
        <w:tc>
          <w:tcPr>
            <w:tcW w:type="dxa" w:w="468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tcPr>
          <w:p>
            <w:r>
              <w:rPr>
                <w:rFonts w:ascii="Arial" w:cs="Arial" w:eastAsia="Arial" w:hAnsi="Arial"/>
                <w:b/>
                <w:bCs/>
                <w:color w:val="1A5E20"/>
                <w:sz w:val="19"/>
                <w:szCs w:val="19"/>
              </w:rPr>
              <w:t xml:space="preserve">✔  Advantages</w:t>
            </w:r>
          </w:p>
        </w:tc>
        <w:tc>
          <w:tcPr>
            <w:tcW w:type="dxa" w:w="468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tcPr>
          <w:p>
            <w:r>
              <w:rPr>
                <w:rFonts w:ascii="Arial" w:cs="Arial" w:eastAsia="Arial" w:hAnsi="Arial"/>
                <w:b/>
                <w:bCs/>
                <w:color w:val="1A5E20"/>
                <w:sz w:val="19"/>
                <w:szCs w:val="19"/>
              </w:rPr>
              <w:t xml:space="preserve">✔  Advantages</w:t>
            </w:r>
          </w:p>
        </w:tc>
      </w:tr>
      <w:tr>
        <w:tc>
          <w:tcPr>
            <w:tcW w:type="dxa" w:w="468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tcPr>
          <w:p>
            <w:pPr>
              <w:spacing w:before="40" w:after="40"/>
            </w:pPr>
            <w:r>
              <w:rPr>
                <w:rFonts w:ascii="Arial" w:cs="Arial" w:eastAsia="Arial" w:hAnsi="Arial"/>
                <w:color w:val="1A5E20"/>
                <w:sz w:val="18"/>
                <w:szCs w:val="18"/>
              </w:rPr>
              <w:t xml:space="preserve">Change Block Tracking (CBT) enables significantly faster incrementals with minimal DB overhead</w:t>
            </w:r>
          </w:p>
          <w:p>
            <w:pPr>
              <w:spacing w:before="40" w:after="40"/>
            </w:pPr>
            <w:r>
              <w:rPr>
                <w:rFonts w:ascii="Arial" w:cs="Arial" w:eastAsia="Arial" w:hAnsi="Arial"/>
                <w:color w:val="1A5E20"/>
                <w:sz w:val="18"/>
                <w:szCs w:val="18"/>
              </w:rPr>
              <w:t xml:space="preserve">Instant Live Mount — recover a full Oracle DB in under 10 minutes without copying data</w:t>
            </w:r>
          </w:p>
          <w:p>
            <w:pPr>
              <w:spacing w:before="40" w:after="40"/>
            </w:pPr>
            <w:r>
              <w:rPr>
                <w:rFonts w:ascii="Arial" w:cs="Arial" w:eastAsia="Arial" w:hAnsi="Arial"/>
                <w:color w:val="1A5E20"/>
                <w:sz w:val="18"/>
                <w:szCs w:val="18"/>
              </w:rPr>
              <w:t xml:space="preserve">Table-level and granular object recovery without full database restore</w:t>
            </w:r>
          </w:p>
          <w:p>
            <w:pPr>
              <w:spacing w:before="40" w:after="40"/>
            </w:pPr>
            <w:r>
              <w:rPr>
                <w:rFonts w:ascii="Arial" w:cs="Arial" w:eastAsia="Arial" w:hAnsi="Arial"/>
                <w:color w:val="1A5E20"/>
                <w:sz w:val="18"/>
                <w:szCs w:val="18"/>
              </w:rPr>
              <w:t xml:space="preserve">Automatic archivelog tracking and shipping — eliminates manual log backup scripting</w:t>
            </w:r>
          </w:p>
          <w:p>
            <w:pPr>
              <w:spacing w:before="40" w:after="40"/>
            </w:pPr>
            <w:r>
              <w:rPr>
                <w:rFonts w:ascii="Arial" w:cs="Arial" w:eastAsia="Arial" w:hAnsi="Arial"/>
                <w:color w:val="1A5E20"/>
                <w:sz w:val="18"/>
                <w:szCs w:val="18"/>
              </w:rPr>
              <w:t xml:space="preserve">Lowest RPO (&lt; 15 minutes) via continuous log-based protection</w:t>
            </w:r>
          </w:p>
          <w:p>
            <w:pPr>
              <w:spacing w:before="40" w:after="40"/>
            </w:pPr>
            <w:r>
              <w:rPr>
                <w:rFonts w:ascii="Arial" w:cs="Arial" w:eastAsia="Arial" w:hAnsi="Arial"/>
                <w:color w:val="1A5E20"/>
                <w:sz w:val="18"/>
                <w:szCs w:val="18"/>
              </w:rPr>
              <w:t xml:space="preserve">Application-aware quiescing ensures DB-consistent snapshots automatically</w:t>
            </w:r>
          </w:p>
          <w:p>
            <w:pPr>
              <w:spacing w:before="40" w:after="40"/>
            </w:pPr>
            <w:r>
              <w:rPr>
                <w:rFonts w:ascii="Arial" w:cs="Arial" w:eastAsia="Arial" w:hAnsi="Arial"/>
                <w:color w:val="1A5E20"/>
                <w:sz w:val="18"/>
                <w:szCs w:val="18"/>
              </w:rPr>
              <w:t xml:space="preserve">Higher deduplication ratios due to block-level change awareness</w:t>
            </w:r>
          </w:p>
        </w:tc>
        <w:tc>
          <w:tcPr>
            <w:tcW w:type="dxa" w:w="468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tcPr>
          <w:p>
            <w:pPr>
              <w:spacing w:before="40" w:after="40"/>
            </w:pPr>
            <w:r>
              <w:rPr>
                <w:rFonts w:ascii="Arial" w:cs="Arial" w:eastAsia="Arial" w:hAnsi="Arial"/>
                <w:color w:val="1A5E20"/>
                <w:sz w:val="18"/>
                <w:szCs w:val="18"/>
              </w:rPr>
              <w:t xml:space="preserve">Native Oracle RMAN SBT API — fully supported and certified by Oracle</w:t>
            </w:r>
          </w:p>
          <w:p>
            <w:pPr>
              <w:spacing w:before="40" w:after="40"/>
            </w:pPr>
            <w:r>
              <w:rPr>
                <w:rFonts w:ascii="Arial" w:cs="Arial" w:eastAsia="Arial" w:hAnsi="Arial"/>
                <w:color w:val="1A5E20"/>
                <w:sz w:val="18"/>
                <w:szCs w:val="18"/>
              </w:rPr>
              <w:t xml:space="preserve">No new software agent required — only RMAN channel configuration changes</w:t>
            </w:r>
          </w:p>
          <w:p>
            <w:pPr>
              <w:spacing w:before="40" w:after="40"/>
            </w:pPr>
            <w:r>
              <w:rPr>
                <w:rFonts w:ascii="Arial" w:cs="Arial" w:eastAsia="Arial" w:hAnsi="Arial"/>
                <w:color w:val="1A5E20"/>
                <w:sz w:val="18"/>
                <w:szCs w:val="18"/>
              </w:rPr>
              <w:t xml:space="preserve">Existing RMAN scripts require minimal modification to switch from NFS to Cohesity</w:t>
            </w:r>
          </w:p>
          <w:p>
            <w:pPr>
              <w:spacing w:before="40" w:after="40"/>
            </w:pPr>
            <w:r>
              <w:rPr>
                <w:rFonts w:ascii="Arial" w:cs="Arial" w:eastAsia="Arial" w:hAnsi="Arial"/>
                <w:color w:val="1A5E20"/>
                <w:sz w:val="18"/>
                <w:szCs w:val="18"/>
              </w:rPr>
              <w:t xml:space="preserve">Lower deployment risk — follows standard Oracle backup procedures DBA teams know</w:t>
            </w:r>
          </w:p>
          <w:p>
            <w:pPr>
              <w:spacing w:before="40" w:after="40"/>
            </w:pPr>
            <w:r>
              <w:rPr>
                <w:rFonts w:ascii="Arial" w:cs="Arial" w:eastAsia="Arial" w:hAnsi="Arial"/>
                <w:color w:val="1A5E20"/>
                <w:sz w:val="18"/>
                <w:szCs w:val="18"/>
              </w:rPr>
              <w:t xml:space="preserve">Full RMAN catalog compatibility — catalog metadata preserved without migration</w:t>
            </w:r>
          </w:p>
          <w:p>
            <w:pPr>
              <w:spacing w:before="40" w:after="40"/>
            </w:pPr>
            <w:r>
              <w:rPr>
                <w:rFonts w:ascii="Arial" w:cs="Arial" w:eastAsia="Arial" w:hAnsi="Arial"/>
                <w:color w:val="1A5E20"/>
                <w:sz w:val="18"/>
                <w:szCs w:val="18"/>
              </w:rPr>
              <w:t xml:space="preserve">Supports all RMAN operations: validate, crosscheck, delete obsolete natively</w:t>
            </w:r>
          </w:p>
          <w:p>
            <w:pPr>
              <w:spacing w:before="40" w:after="40"/>
            </w:pPr>
            <w:r>
              <w:rPr>
                <w:rFonts w:ascii="Arial" w:cs="Arial" w:eastAsia="Arial" w:hAnsi="Arial"/>
                <w:color w:val="1A5E20"/>
                <w:sz w:val="18"/>
                <w:szCs w:val="18"/>
              </w:rPr>
              <w:t xml:space="preserve">Simpler to audit and troubleshoot — all activity visible in standard RMAN logs</w:t>
            </w:r>
          </w:p>
        </w:tc>
      </w:tr>
      <w:tr>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9"/>
                <w:szCs w:val="19"/>
              </w:rPr>
              <w:t xml:space="preserve">✘  Disadvantages</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19"/>
                <w:szCs w:val="19"/>
              </w:rPr>
              <w:t xml:space="preserve">✘  Disadvantages</w:t>
            </w:r>
          </w:p>
        </w:tc>
      </w:tr>
      <w:tr>
        <w:tc>
          <w:tcPr>
            <w:tcW w:type="dxa" w:w="468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tcPr>
          <w:p>
            <w:pPr>
              <w:spacing w:before="40" w:after="40"/>
            </w:pPr>
            <w:r>
              <w:rPr>
                <w:rFonts w:ascii="Arial" w:cs="Arial" w:eastAsia="Arial" w:hAnsi="Arial"/>
                <w:color w:val="922B21"/>
                <w:sz w:val="18"/>
                <w:szCs w:val="18"/>
              </w:rPr>
              <w:t xml:space="preserve">Requires Cohesity agent software to be deployed and maintained on every DB server</w:t>
            </w:r>
          </w:p>
          <w:p>
            <w:pPr>
              <w:spacing w:before="40" w:after="40"/>
            </w:pPr>
            <w:r>
              <w:rPr>
                <w:rFonts w:ascii="Arial" w:cs="Arial" w:eastAsia="Arial" w:hAnsi="Arial"/>
                <w:color w:val="922B21"/>
                <w:sz w:val="18"/>
                <w:szCs w:val="18"/>
              </w:rPr>
              <w:t xml:space="preserve">Agent patching and version lifecycle management adds operational overhead</w:t>
            </w:r>
          </w:p>
          <w:p>
            <w:pPr>
              <w:spacing w:before="40" w:after="40"/>
            </w:pPr>
            <w:r>
              <w:rPr>
                <w:rFonts w:ascii="Arial" w:cs="Arial" w:eastAsia="Arial" w:hAnsi="Arial"/>
                <w:color w:val="922B21"/>
                <w:sz w:val="18"/>
                <w:szCs w:val="18"/>
              </w:rPr>
              <w:t xml:space="preserve">Not a native Oracle-certified interface — may face Oracle Support caveats</w:t>
            </w:r>
          </w:p>
          <w:p>
            <w:pPr>
              <w:spacing w:before="40" w:after="40"/>
            </w:pPr>
            <w:r>
              <w:rPr>
                <w:rFonts w:ascii="Arial" w:cs="Arial" w:eastAsia="Arial" w:hAnsi="Arial"/>
                <w:color w:val="922B21"/>
                <w:sz w:val="18"/>
                <w:szCs w:val="18"/>
              </w:rPr>
              <w:t xml:space="preserve">Higher initial setup complexity — agent configuration, service accounts, firewall rules</w:t>
            </w:r>
          </w:p>
          <w:p>
            <w:pPr>
              <w:spacing w:before="40" w:after="40"/>
            </w:pPr>
            <w:r>
              <w:rPr>
                <w:rFonts w:ascii="Arial" w:cs="Arial" w:eastAsia="Arial" w:hAnsi="Arial"/>
                <w:color w:val="922B21"/>
                <w:sz w:val="18"/>
                <w:szCs w:val="18"/>
              </w:rPr>
              <w:t xml:space="preserve">Agent compatibility must be verified for each OS and Oracle version combination</w:t>
            </w:r>
          </w:p>
          <w:p>
            <w:pPr>
              <w:spacing w:before="40" w:after="40"/>
            </w:pPr>
            <w:r>
              <w:rPr>
                <w:rFonts w:ascii="Arial" w:cs="Arial" w:eastAsia="Arial" w:hAnsi="Arial"/>
                <w:color w:val="922B21"/>
                <w:sz w:val="18"/>
                <w:szCs w:val="18"/>
              </w:rPr>
              <w:t xml:space="preserve">Existing RMAN scripts and catalog not directly reused — parallel migration required</w:t>
            </w:r>
          </w:p>
        </w:tc>
        <w:tc>
          <w:tcPr>
            <w:tcW w:type="dxa" w:w="4680"/>
            <w:tcBorders>
              <w:top w:val="single" w:color="CCCCCC" w:sz="1"/>
              <w:left w:val="single" w:color="CCCCCC" w:sz="1"/>
              <w:bottom w:val="single" w:color="CCCCCC" w:sz="1"/>
              <w:right w:val="single" w:color="CCCCCC" w:sz="1"/>
            </w:tcBorders>
            <w:shd w:fill="FDF1EC" w:val="clear"/>
            <w:tcMar>
              <w:top w:type="dxa" w:w="80"/>
              <w:left w:type="dxa" w:w="120"/>
              <w:bottom w:type="dxa" w:w="80"/>
              <w:right w:type="dxa" w:w="120"/>
            </w:tcMar>
          </w:tcPr>
          <w:p>
            <w:pPr>
              <w:spacing w:before="40" w:after="40"/>
            </w:pPr>
            <w:r>
              <w:rPr>
                <w:rFonts w:ascii="Arial" w:cs="Arial" w:eastAsia="Arial" w:hAnsi="Arial"/>
                <w:color w:val="922B21"/>
                <w:sz w:val="18"/>
                <w:szCs w:val="18"/>
              </w:rPr>
              <w:t xml:space="preserve">No Change Block Tracking — incremental backups still read all changed datafile blocks via RMAN, not block-level CBT</w:t>
            </w:r>
          </w:p>
          <w:p>
            <w:pPr>
              <w:spacing w:before="40" w:after="40"/>
            </w:pPr>
            <w:r>
              <w:rPr>
                <w:rFonts w:ascii="Arial" w:cs="Arial" w:eastAsia="Arial" w:hAnsi="Arial"/>
                <w:color w:val="922B21"/>
                <w:sz w:val="18"/>
                <w:szCs w:val="18"/>
              </w:rPr>
              <w:t xml:space="preserve">No native instant live mount — full RMAN restore to target required before DB is accessible</w:t>
            </w:r>
          </w:p>
          <w:p>
            <w:pPr>
              <w:spacing w:before="40" w:after="40"/>
            </w:pPr>
            <w:r>
              <w:rPr>
                <w:rFonts w:ascii="Arial" w:cs="Arial" w:eastAsia="Arial" w:hAnsi="Arial"/>
                <w:color w:val="922B21"/>
                <w:sz w:val="18"/>
                <w:szCs w:val="18"/>
              </w:rPr>
              <w:t xml:space="preserve">Higher RTO compared to Agent Adapter — RMAN restore is a sequential operation</w:t>
            </w:r>
          </w:p>
          <w:p>
            <w:pPr>
              <w:spacing w:before="40" w:after="40"/>
            </w:pPr>
            <w:r>
              <w:rPr>
                <w:rFonts w:ascii="Arial" w:cs="Arial" w:eastAsia="Arial" w:hAnsi="Arial"/>
                <w:color w:val="922B21"/>
                <w:sz w:val="18"/>
                <w:szCs w:val="18"/>
              </w:rPr>
              <w:t xml:space="preserve">Archivelog backup frequency still governed by RMAN script schedule — RPO limited to schedule interval</w:t>
            </w:r>
          </w:p>
          <w:p>
            <w:pPr>
              <w:spacing w:before="40" w:after="40"/>
            </w:pPr>
            <w:r>
              <w:rPr>
                <w:rFonts w:ascii="Arial" w:cs="Arial" w:eastAsia="Arial" w:hAnsi="Arial"/>
                <w:color w:val="922B21"/>
                <w:sz w:val="18"/>
                <w:szCs w:val="18"/>
              </w:rPr>
              <w:t xml:space="preserve">Recovery granularity limited to tablespace and datafile level — no table-level recovery</w:t>
            </w:r>
          </w:p>
          <w:p>
            <w:pPr>
              <w:spacing w:before="40" w:after="40"/>
            </w:pPr>
            <w:r>
              <w:rPr>
                <w:rFonts w:ascii="Arial" w:cs="Arial" w:eastAsia="Arial" w:hAnsi="Arial"/>
                <w:color w:val="922B21"/>
                <w:sz w:val="18"/>
                <w:szCs w:val="18"/>
              </w:rPr>
              <w:t xml:space="preserve">Backup performance bounded by RMAN channel parallelism — additional tuning required for large DBs</w:t>
            </w:r>
          </w:p>
        </w:tc>
      </w:tr>
    </w:tbl>
    <w:p>
      <w:pPr>
        <w:spacing w:before="80"/>
      </w:pPr>
    </w:p>
    <w:p>
      <w:pPr>
        <w:pStyle w:val="Heading2"/>
        <w:spacing w:before="200" w:after="100"/>
      </w:pPr>
      <w:r>
        <w:rPr>
          <w:rFonts w:ascii="Arial" w:cs="Arial" w:eastAsia="Arial" w:hAnsi="Arial"/>
          <w:b/>
          <w:bCs/>
          <w:color w:val="2E75B6"/>
          <w:sz w:val="24"/>
          <w:szCs w:val="24"/>
        </w:rPr>
        <w:t xml:space="preserve">6.1 Architecture Differences</w:t>
      </w:r>
    </w:p>
    <w:p>
      <w:pPr>
        <w:spacing w:before="60" w:after="100"/>
      </w:pPr>
      <w:r>
        <w:rPr>
          <w:rFonts w:ascii="Arial" w:cs="Arial" w:eastAsia="Arial" w:hAnsi="Arial"/>
          <w:color w:val="333333"/>
          <w:sz w:val="20"/>
          <w:szCs w:val="20"/>
        </w:rPr>
        <w:t xml:space="preserve">The Agent Adapter operates at the OS and file-system level, installing a resident service on the Oracle server. It interfaces with Oracle through Oracle's APIs but bypasses RMAN for data movement, enabling CBT and instant mount capabilities. The SBT Plugin, by contrast, is entirely RMAN-driven — Cohesity acts purely as a media server receiving RMAN backup streams, with no additional software on the Oracle server.</w:t>
      </w:r>
    </w:p>
    <w:p>
      <w:pPr>
        <w:pStyle w:val="Heading2"/>
        <w:spacing w:before="200" w:after="100"/>
      </w:pPr>
      <w:r>
        <w:rPr>
          <w:rFonts w:ascii="Arial" w:cs="Arial" w:eastAsia="Arial" w:hAnsi="Arial"/>
          <w:b/>
          <w:bCs/>
          <w:color w:val="2E75B6"/>
          <w:sz w:val="24"/>
          <w:szCs w:val="24"/>
        </w:rPr>
        <w:t xml:space="preserve">6.2 Recovery Capabilities</w:t>
      </w:r>
    </w:p>
    <w:p>
      <w:pPr>
        <w:spacing w:before="60" w:after="100"/>
      </w:pPr>
      <w:r>
        <w:rPr>
          <w:rFonts w:ascii="Arial" w:cs="Arial" w:eastAsia="Arial" w:hAnsi="Arial"/>
          <w:color w:val="333333"/>
          <w:sz w:val="20"/>
          <w:szCs w:val="20"/>
        </w:rPr>
        <w:t xml:space="preserve">Recovery capability is a key differentiator. The Agent Adapter supports instant live mount (SpanFS), allowing a backed-up Oracle database to be mounted directly on the Cohesity cluster and accessed immediately — without waiting for a full restore. This is ideal for development, testing, and rapid DR scenarios. The SBT Plugin requires a traditional RMAN restore operation, which is sequential and time-consuming for large databases, but benefits from being a fully Oracle-native and supported recovery path.</w:t>
      </w:r>
    </w:p>
    <w:p>
      <w:pPr>
        <w:pStyle w:val="Heading2"/>
        <w:spacing w:before="200" w:after="100"/>
      </w:pPr>
      <w:r>
        <w:rPr>
          <w:rFonts w:ascii="Arial" w:cs="Arial" w:eastAsia="Arial" w:hAnsi="Arial"/>
          <w:b/>
          <w:bCs/>
          <w:color w:val="2E75B6"/>
          <w:sz w:val="24"/>
          <w:szCs w:val="24"/>
        </w:rPr>
        <w:t xml:space="preserve">6.3 Operational Considerations</w:t>
      </w:r>
    </w:p>
    <w:p>
      <w:pPr>
        <w:spacing w:before="60" w:after="100"/>
      </w:pPr>
      <w:r>
        <w:rPr>
          <w:rFonts w:ascii="Arial" w:cs="Arial" w:eastAsia="Arial" w:hAnsi="Arial"/>
          <w:color w:val="333333"/>
          <w:sz w:val="20"/>
          <w:szCs w:val="20"/>
        </w:rPr>
        <w:t xml:space="preserve">From a DBA team perspective, the SBT Plugin offers the lowest adoption friction — existing runbooks, RMAN scripts, and monitoring procedures require minimal changes. The Agent Adapter introduces a new operational component (agent lifecycle management) but delivers substantially better performance and recovery capabilities. Organizations with strict OS change control policies may prefer the SBT approach, while those prioritising RTO and RPO targets should lean toward the Agent Adapter.</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7. Use Case Recommendations</w:t>
      </w:r>
    </w:p>
    <w:p>
      <w:pPr>
        <w:spacing w:before="60" w:after="100"/>
      </w:pPr>
      <w:r>
        <w:rPr>
          <w:rFonts w:ascii="Arial" w:cs="Arial" w:eastAsia="Arial" w:hAnsi="Arial"/>
          <w:color w:val="333333"/>
          <w:sz w:val="20"/>
          <w:szCs w:val="20"/>
        </w:rPr>
        <w:t xml:space="preserve">Based on the analysis above, the appropriate Cohesity integration method depends on the database tier, RTO/RPO requirements, and operational constraints. The table below provides guidance for common scenarios.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Use Case / Scenario</w:t>
            </w:r>
          </w:p>
        </w:tc>
        <w:tc>
          <w:tcPr>
            <w:tcW w:type="dxa" w:w="3580"/>
            <w:tcBorders>
              <w:top w:val="single" w:color="CCCCCC" w:sz="1"/>
              <w:left w:val="single" w:color="CCCCCC" w:sz="1"/>
              <w:bottom w:val="single" w:color="CCCCCC" w:sz="1"/>
              <w:right w:val="single" w:color="CCCCCC"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Recommended Method</w:t>
            </w:r>
          </w:p>
        </w:tc>
        <w:tc>
          <w:tcPr>
            <w:tcW w:type="dxa" w:w="358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19"/>
                <w:szCs w:val="19"/>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Large DB (&gt; 1 TB) with low change rate</w:t>
            </w:r>
          </w:p>
        </w:tc>
        <w:tc>
          <w:tcPr>
            <w:tcW w:type="dxa" w:w="358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tcPr>
          <w:p>
            <w:r>
              <w:rPr>
                <w:rFonts w:ascii="Arial" w:cs="Arial" w:eastAsia="Arial" w:hAnsi="Arial"/>
                <w:b/>
                <w:bCs/>
                <w:color w:val="1A5276"/>
                <w:sz w:val="19"/>
                <w:szCs w:val="19"/>
              </w:rPr>
              <w:t xml:space="preserve">Agent Adapter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CBT dramatically reduces backup window and network load on large low-change databases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Mission-critical DB requiring sub-15-min RTO</w:t>
            </w:r>
          </w:p>
        </w:tc>
        <w:tc>
          <w:tcPr>
            <w:tcW w:type="dxa" w:w="358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tcPr>
          <w:p>
            <w:r>
              <w:rPr>
                <w:rFonts w:ascii="Arial" w:cs="Arial" w:eastAsia="Arial" w:hAnsi="Arial"/>
                <w:b/>
                <w:bCs/>
                <w:color w:val="1A5276"/>
                <w:sz w:val="19"/>
                <w:szCs w:val="19"/>
              </w:rPr>
              <w:t xml:space="preserve">Agent Adapter (Instant Mount)</w:t>
            </w:r>
          </w:p>
        </w:tc>
        <w:tc>
          <w:tcPr>
            <w:tcW w:type="dxa" w:w="35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SpanFS instant mount brings DB online in minutes without restore — critical for DR SLAs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Minimal disruption / fast migration</w:t>
            </w:r>
          </w:p>
        </w:tc>
        <w:tc>
          <w:tcPr>
            <w:tcW w:type="dxa" w:w="358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tcPr>
          <w:p>
            <w:r>
              <w:rPr>
                <w:rFonts w:ascii="Arial" w:cs="Arial" w:eastAsia="Arial" w:hAnsi="Arial"/>
                <w:b/>
                <w:bCs/>
                <w:color w:val="1D6A96"/>
                <w:sz w:val="19"/>
                <w:szCs w:val="19"/>
              </w:rPr>
              <w:t xml:space="preserve">SBT Plugin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Only RMAN channel config changes needed; existing scripts work with minor edits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Strict Oracle Support requirements</w:t>
            </w:r>
          </w:p>
        </w:tc>
        <w:tc>
          <w:tcPr>
            <w:tcW w:type="dxa" w:w="3580"/>
            <w:tcBorders>
              <w:top w:val="single" w:color="CCCCCC" w:sz="1"/>
              <w:left w:val="single" w:color="CCCCCC" w:sz="1"/>
              <w:bottom w:val="single" w:color="CCCCCC" w:sz="1"/>
              <w:right w:val="single" w:color="CCCCCC" w:sz="1"/>
            </w:tcBorders>
            <w:shd w:fill="D6EFD0" w:val="clear"/>
            <w:tcMar>
              <w:top w:type="dxa" w:w="80"/>
              <w:left w:type="dxa" w:w="120"/>
              <w:bottom w:type="dxa" w:w="80"/>
              <w:right w:type="dxa" w:w="120"/>
            </w:tcMar>
          </w:tcPr>
          <w:p>
            <w:r>
              <w:rPr>
                <w:rFonts w:ascii="Arial" w:cs="Arial" w:eastAsia="Arial" w:hAnsi="Arial"/>
                <w:b/>
                <w:bCs/>
                <w:color w:val="1D6A96"/>
                <w:sz w:val="19"/>
                <w:szCs w:val="19"/>
              </w:rPr>
              <w:t xml:space="preserve">SBT Plugin</w:t>
            </w:r>
          </w:p>
        </w:tc>
        <w:tc>
          <w:tcPr>
            <w:tcW w:type="dxa" w:w="358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Native Oracle-certified SBT interface; no third-party agent involvement in DB server 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22222"/>
                <w:sz w:val="18"/>
                <w:szCs w:val="18"/>
              </w:rPr>
              <w:t xml:space="preserve">Complex multi-DB environment, mixed workloads</w:t>
            </w:r>
          </w:p>
        </w:tc>
        <w:tc>
          <w:tcPr>
            <w:tcW w:type="dxa" w:w="3580"/>
            <w:tcBorders>
              <w:top w:val="single" w:color="CCCCCC" w:sz="1"/>
              <w:left w:val="single" w:color="CCCCCC" w:sz="1"/>
              <w:bottom w:val="single" w:color="CCCCCC" w:sz="1"/>
              <w:right w:val="single" w:color="CCCCCC" w:sz="1"/>
            </w:tcBorders>
            <w:shd w:fill="EBF7E6" w:val="clear"/>
            <w:tcMar>
              <w:top w:type="dxa" w:w="80"/>
              <w:left w:type="dxa" w:w="120"/>
              <w:bottom w:type="dxa" w:w="80"/>
              <w:right w:type="dxa" w:w="120"/>
            </w:tcMar>
          </w:tcPr>
          <w:p>
            <w:r>
              <w:rPr>
                <w:rFonts w:ascii="Arial" w:cs="Arial" w:eastAsia="Arial" w:hAnsi="Arial"/>
                <w:b/>
                <w:bCs/>
                <w:color w:val="7D3C98"/>
                <w:sz w:val="19"/>
                <w:szCs w:val="19"/>
              </w:rPr>
              <w:t xml:space="preserve">Hybrid (Agent + SBT per tier)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44444"/>
                <w:sz w:val="18"/>
                <w:szCs w:val="18"/>
              </w:rPr>
              <w:t xml:space="preserve">Use Agent for Tier-1 DBs needing lowest RTO/RPO; SBT for Tier-2/3 to simplify operations</w:t>
            </w:r>
          </w:p>
        </w:tc>
      </w:tr>
    </w:tbl>
    <w:p>
      <w:pPr>
        <w:spacing w:before="80"/>
      </w:pPr>
    </w:p>
    <w:p>
      <w:pPr>
        <w:spacing w:before="60" w:after="100"/>
      </w:pPr>
      <w:r>
        <w:rPr>
          <w:rFonts w:ascii="Arial" w:cs="Arial" w:eastAsia="Arial" w:hAnsi="Arial"/>
          <w:color w:val="333333"/>
          <w:sz w:val="20"/>
          <w:szCs w:val="20"/>
        </w:rPr>
        <w:t xml:space="preserve">A hybrid deployment — using the Agent Adapter for Tier-1 mission-critical databases and the SBT Plugin for Tier-2/3 databases — is a practical and supported approach that balances performance, recovery objectives, and operational simplicity.</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8. Migration Approach</w:t>
      </w:r>
    </w:p>
    <w:p>
      <w:pPr>
        <w:pStyle w:val="Heading2"/>
        <w:spacing w:before="200" w:after="100"/>
      </w:pPr>
      <w:r>
        <w:rPr>
          <w:rFonts w:ascii="Arial" w:cs="Arial" w:eastAsia="Arial" w:hAnsi="Arial"/>
          <w:b/>
          <w:bCs/>
          <w:color w:val="2E75B6"/>
          <w:sz w:val="24"/>
          <w:szCs w:val="24"/>
        </w:rPr>
        <w:t xml:space="preserve">Phase 1 – Discovery &amp; Planning (Weeks 1–2)</w:t>
      </w:r>
    </w:p>
    <w:p>
      <w:pPr>
        <w:pStyle w:val="ListParagraph"/>
        <w:numPr>
          <w:ilvl w:val="0"/>
          <w:numId w:val="2"/>
        </w:numPr>
        <w:spacing w:before="40" w:after="40"/>
      </w:pPr>
      <w:r>
        <w:rPr>
          <w:rFonts w:ascii="Arial" w:cs="Arial" w:eastAsia="Arial" w:hAnsi="Arial"/>
          <w:color w:val="333333"/>
          <w:sz w:val="19"/>
          <w:szCs w:val="19"/>
        </w:rPr>
        <w:t xml:space="preserve">Classify all Oracle databases by tier (Tier-1: mission-critical, Tier-2: business, Tier-3: dev/test)</w:t>
      </w:r>
    </w:p>
    <w:p>
      <w:pPr>
        <w:pStyle w:val="ListParagraph"/>
        <w:numPr>
          <w:ilvl w:val="0"/>
          <w:numId w:val="2"/>
        </w:numPr>
        <w:spacing w:before="40" w:after="40"/>
      </w:pPr>
      <w:r>
        <w:rPr>
          <w:rFonts w:ascii="Arial" w:cs="Arial" w:eastAsia="Arial" w:hAnsi="Arial"/>
          <w:color w:val="333333"/>
          <w:sz w:val="19"/>
          <w:szCs w:val="19"/>
        </w:rPr>
        <w:t xml:space="preserve">Define RTO/RPO targets per tier to determine Agent vs SBT assignment</w:t>
      </w:r>
    </w:p>
    <w:p>
      <w:pPr>
        <w:pStyle w:val="ListParagraph"/>
        <w:numPr>
          <w:ilvl w:val="0"/>
          <w:numId w:val="2"/>
        </w:numPr>
        <w:spacing w:before="40" w:after="40"/>
      </w:pPr>
      <w:r>
        <w:rPr>
          <w:rFonts w:ascii="Arial" w:cs="Arial" w:eastAsia="Arial" w:hAnsi="Arial"/>
          <w:color w:val="333333"/>
          <w:sz w:val="19"/>
          <w:szCs w:val="19"/>
        </w:rPr>
        <w:t xml:space="preserve">Inventory Oracle versions and OS platforms for agent compatibility verification</w:t>
      </w:r>
    </w:p>
    <w:p>
      <w:pPr>
        <w:pStyle w:val="ListParagraph"/>
        <w:numPr>
          <w:ilvl w:val="0"/>
          <w:numId w:val="2"/>
        </w:numPr>
        <w:spacing w:before="40" w:after="40"/>
      </w:pPr>
      <w:r>
        <w:rPr>
          <w:rFonts w:ascii="Arial" w:cs="Arial" w:eastAsia="Arial" w:hAnsi="Arial"/>
          <w:color w:val="333333"/>
          <w:sz w:val="19"/>
          <w:szCs w:val="19"/>
        </w:rPr>
        <w:t xml:space="preserve">Review existing RMAN scripts, retention policies, and catalog configuration</w:t>
      </w:r>
    </w:p>
    <w:p>
      <w:pPr>
        <w:spacing w:before="60"/>
      </w:pPr>
    </w:p>
    <w:p>
      <w:pPr>
        <w:pStyle w:val="Heading2"/>
        <w:spacing w:before="200" w:after="100"/>
      </w:pPr>
      <w:r>
        <w:rPr>
          <w:rFonts w:ascii="Arial" w:cs="Arial" w:eastAsia="Arial" w:hAnsi="Arial"/>
          <w:b/>
          <w:bCs/>
          <w:color w:val="2E75B6"/>
          <w:sz w:val="24"/>
          <w:szCs w:val="24"/>
        </w:rPr>
        <w:t xml:space="preserve">Phase 2 – Infrastructure Setup (Weeks 3–4)</w:t>
      </w:r>
    </w:p>
    <w:p>
      <w:pPr>
        <w:pStyle w:val="ListParagraph"/>
        <w:numPr>
          <w:ilvl w:val="0"/>
          <w:numId w:val="2"/>
        </w:numPr>
        <w:spacing w:before="40" w:after="40"/>
      </w:pPr>
      <w:r>
        <w:rPr>
          <w:rFonts w:ascii="Arial" w:cs="Arial" w:eastAsia="Arial" w:hAnsi="Arial"/>
          <w:color w:val="333333"/>
          <w:sz w:val="19"/>
          <w:szCs w:val="19"/>
        </w:rPr>
        <w:t xml:space="preserve">Deploy Cohesity cluster and configure network connectivity from all DB servers</w:t>
      </w:r>
    </w:p>
    <w:p>
      <w:pPr>
        <w:pStyle w:val="ListParagraph"/>
        <w:numPr>
          <w:ilvl w:val="0"/>
          <w:numId w:val="2"/>
        </w:numPr>
        <w:spacing w:before="40" w:after="40"/>
      </w:pPr>
      <w:r>
        <w:rPr>
          <w:rFonts w:ascii="Arial" w:cs="Arial" w:eastAsia="Arial" w:hAnsi="Arial"/>
          <w:color w:val="333333"/>
          <w:sz w:val="19"/>
          <w:szCs w:val="19"/>
        </w:rPr>
        <w:t xml:space="preserve">Install and configure SBT library on Tier-2/3 DB servers; register Cohesity as RMAN media server</w:t>
      </w:r>
    </w:p>
    <w:p>
      <w:pPr>
        <w:pStyle w:val="ListParagraph"/>
        <w:numPr>
          <w:ilvl w:val="0"/>
          <w:numId w:val="2"/>
        </w:numPr>
        <w:spacing w:before="40" w:after="40"/>
      </w:pPr>
      <w:r>
        <w:rPr>
          <w:rFonts w:ascii="Arial" w:cs="Arial" w:eastAsia="Arial" w:hAnsi="Arial"/>
          <w:color w:val="333333"/>
          <w:sz w:val="19"/>
          <w:szCs w:val="19"/>
        </w:rPr>
        <w:t xml:space="preserve">Deploy Cohesity Agent on Tier-1 DB servers; configure protection policies in Helios</w:t>
      </w:r>
    </w:p>
    <w:p>
      <w:pPr>
        <w:pStyle w:val="ListParagraph"/>
        <w:numPr>
          <w:ilvl w:val="0"/>
          <w:numId w:val="2"/>
        </w:numPr>
        <w:spacing w:before="40" w:after="40"/>
      </w:pPr>
      <w:r>
        <w:rPr>
          <w:rFonts w:ascii="Arial" w:cs="Arial" w:eastAsia="Arial" w:hAnsi="Arial"/>
          <w:color w:val="333333"/>
          <w:sz w:val="19"/>
          <w:szCs w:val="19"/>
        </w:rPr>
        <w:t xml:space="preserve">Validate both integration paths with a test database restore end-to-end</w:t>
      </w:r>
    </w:p>
    <w:p>
      <w:pPr>
        <w:spacing w:before="60"/>
      </w:pPr>
    </w:p>
    <w:p>
      <w:pPr>
        <w:pStyle w:val="Heading2"/>
        <w:spacing w:before="200" w:after="100"/>
      </w:pPr>
      <w:r>
        <w:rPr>
          <w:rFonts w:ascii="Arial" w:cs="Arial" w:eastAsia="Arial" w:hAnsi="Arial"/>
          <w:b/>
          <w:bCs/>
          <w:color w:val="2E75B6"/>
          <w:sz w:val="24"/>
          <w:szCs w:val="24"/>
        </w:rPr>
        <w:t xml:space="preserve">Phase 3 – Pilot &amp; Parallel Testing (Weeks 5–7)</w:t>
      </w:r>
    </w:p>
    <w:p>
      <w:pPr>
        <w:pStyle w:val="ListParagraph"/>
        <w:numPr>
          <w:ilvl w:val="0"/>
          <w:numId w:val="2"/>
        </w:numPr>
        <w:spacing w:before="40" w:after="40"/>
      </w:pPr>
      <w:r>
        <w:rPr>
          <w:rFonts w:ascii="Arial" w:cs="Arial" w:eastAsia="Arial" w:hAnsi="Arial"/>
          <w:color w:val="333333"/>
          <w:sz w:val="19"/>
          <w:szCs w:val="19"/>
        </w:rPr>
        <w:t xml:space="preserve">Run both methods in parallel with RMAN/NFS for 2 weeks on non-production databases</w:t>
      </w:r>
    </w:p>
    <w:p>
      <w:pPr>
        <w:pStyle w:val="ListParagraph"/>
        <w:numPr>
          <w:ilvl w:val="0"/>
          <w:numId w:val="2"/>
        </w:numPr>
        <w:spacing w:before="40" w:after="40"/>
      </w:pPr>
      <w:r>
        <w:rPr>
          <w:rFonts w:ascii="Arial" w:cs="Arial" w:eastAsia="Arial" w:hAnsi="Arial"/>
          <w:color w:val="333333"/>
          <w:sz w:val="19"/>
          <w:szCs w:val="19"/>
        </w:rPr>
        <w:t xml:space="preserve">Measure actual deduplication ratios, backup durations, RTO, and network utilization</w:t>
      </w:r>
    </w:p>
    <w:p>
      <w:pPr>
        <w:pStyle w:val="ListParagraph"/>
        <w:numPr>
          <w:ilvl w:val="0"/>
          <w:numId w:val="2"/>
        </w:numPr>
        <w:spacing w:before="40" w:after="40"/>
      </w:pPr>
      <w:r>
        <w:rPr>
          <w:rFonts w:ascii="Arial" w:cs="Arial" w:eastAsia="Arial" w:hAnsi="Arial"/>
          <w:color w:val="333333"/>
          <w:sz w:val="19"/>
          <w:szCs w:val="19"/>
        </w:rPr>
        <w:t xml:space="preserve">Validate SBT restore via RMAN restore commands; validate Agent instant mount recovery</w:t>
      </w:r>
    </w:p>
    <w:p>
      <w:pPr>
        <w:pStyle w:val="ListParagraph"/>
        <w:numPr>
          <w:ilvl w:val="0"/>
          <w:numId w:val="2"/>
        </w:numPr>
        <w:spacing w:before="40" w:after="40"/>
      </w:pPr>
      <w:r>
        <w:rPr>
          <w:rFonts w:ascii="Arial" w:cs="Arial" w:eastAsia="Arial" w:hAnsi="Arial"/>
          <w:color w:val="333333"/>
          <w:sz w:val="19"/>
          <w:szCs w:val="19"/>
        </w:rPr>
        <w:t xml:space="preserve">Document performance results to confirm or adjust Tier classification and method assignment</w:t>
      </w:r>
    </w:p>
    <w:p>
      <w:pPr>
        <w:spacing w:before="60"/>
      </w:pPr>
    </w:p>
    <w:p>
      <w:pPr>
        <w:pStyle w:val="Heading2"/>
        <w:spacing w:before="200" w:after="100"/>
      </w:pPr>
      <w:r>
        <w:rPr>
          <w:rFonts w:ascii="Arial" w:cs="Arial" w:eastAsia="Arial" w:hAnsi="Arial"/>
          <w:b/>
          <w:bCs/>
          <w:color w:val="2E75B6"/>
          <w:sz w:val="24"/>
          <w:szCs w:val="24"/>
        </w:rPr>
        <w:t xml:space="preserve">Phase 4 – Production Cutover &amp; Decommission (Weeks 8–10)</w:t>
      </w:r>
    </w:p>
    <w:p>
      <w:pPr>
        <w:pStyle w:val="ListParagraph"/>
        <w:numPr>
          <w:ilvl w:val="0"/>
          <w:numId w:val="2"/>
        </w:numPr>
        <w:spacing w:before="40" w:after="40"/>
      </w:pPr>
      <w:r>
        <w:rPr>
          <w:rFonts w:ascii="Arial" w:cs="Arial" w:eastAsia="Arial" w:hAnsi="Arial"/>
          <w:color w:val="333333"/>
          <w:sz w:val="19"/>
          <w:szCs w:val="19"/>
        </w:rPr>
        <w:t xml:space="preserve">Migrate Tier-1 databases to Agent Adapter protection policies in a rolling schedule</w:t>
      </w:r>
    </w:p>
    <w:p>
      <w:pPr>
        <w:pStyle w:val="ListParagraph"/>
        <w:numPr>
          <w:ilvl w:val="0"/>
          <w:numId w:val="2"/>
        </w:numPr>
        <w:spacing w:before="40" w:after="40"/>
      </w:pPr>
      <w:r>
        <w:rPr>
          <w:rFonts w:ascii="Arial" w:cs="Arial" w:eastAsia="Arial" w:hAnsi="Arial"/>
          <w:color w:val="333333"/>
          <w:sz w:val="19"/>
          <w:szCs w:val="19"/>
        </w:rPr>
        <w:t xml:space="preserve">Migrate Tier-2/3 databases to SBT Plugin with updated RMAN channel configuration</w:t>
      </w:r>
    </w:p>
    <w:p>
      <w:pPr>
        <w:pStyle w:val="ListParagraph"/>
        <w:numPr>
          <w:ilvl w:val="0"/>
          <w:numId w:val="2"/>
        </w:numPr>
        <w:spacing w:before="40" w:after="40"/>
      </w:pPr>
      <w:r>
        <w:rPr>
          <w:rFonts w:ascii="Arial" w:cs="Arial" w:eastAsia="Arial" w:hAnsi="Arial"/>
          <w:color w:val="333333"/>
          <w:sz w:val="19"/>
          <w:szCs w:val="19"/>
        </w:rPr>
        <w:t xml:space="preserve">Maintain NFS backups in parallel for 2 weeks post-cutover as rollback option</w:t>
      </w:r>
    </w:p>
    <w:p>
      <w:pPr>
        <w:pStyle w:val="ListParagraph"/>
        <w:numPr>
          <w:ilvl w:val="0"/>
          <w:numId w:val="2"/>
        </w:numPr>
        <w:spacing w:before="40" w:after="40"/>
      </w:pPr>
      <w:r>
        <w:rPr>
          <w:rFonts w:ascii="Arial" w:cs="Arial" w:eastAsia="Arial" w:hAnsi="Arial"/>
          <w:color w:val="333333"/>
          <w:sz w:val="19"/>
          <w:szCs w:val="19"/>
        </w:rPr>
        <w:t xml:space="preserve">Decommission NFS backup shares after successful validation period</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9. Risks &amp; Considerations</w:t>
      </w:r>
    </w:p>
    <w:p>
      <w:pPr>
        <w:pStyle w:val="ListParagraph"/>
        <w:numPr>
          <w:ilvl w:val="0"/>
          <w:numId w:val="2"/>
        </w:numPr>
        <w:spacing w:before="40" w:after="40"/>
      </w:pPr>
      <w:r>
        <w:rPr>
          <w:rFonts w:ascii="Arial" w:cs="Arial" w:eastAsia="Arial" w:hAnsi="Arial"/>
          <w:color w:val="333333"/>
          <w:sz w:val="19"/>
          <w:szCs w:val="19"/>
        </w:rPr>
        <w:t xml:space="preserve">Agent Compatibility: Cohesity Agent version must be validated against each Oracle DB version (12c, 19c, 21c, 23ai) and OS (RHEL, OEL, SLES) combination before deployment.</w:t>
      </w:r>
    </w:p>
    <w:p>
      <w:pPr>
        <w:pStyle w:val="ListParagraph"/>
        <w:numPr>
          <w:ilvl w:val="0"/>
          <w:numId w:val="2"/>
        </w:numPr>
        <w:spacing w:before="40" w:after="40"/>
      </w:pPr>
      <w:r>
        <w:rPr>
          <w:rFonts w:ascii="Arial" w:cs="Arial" w:eastAsia="Arial" w:hAnsi="Arial"/>
          <w:color w:val="333333"/>
          <w:sz w:val="19"/>
          <w:szCs w:val="19"/>
        </w:rPr>
        <w:t xml:space="preserve">RMAN Catalog: SBT Plugin uses RMAN catalog natively; Agent Adapter may require a separate Cohesity-managed catalog — verify catalog strategy before production cutover.</w:t>
      </w:r>
    </w:p>
    <w:p>
      <w:pPr>
        <w:pStyle w:val="ListParagraph"/>
        <w:numPr>
          <w:ilvl w:val="0"/>
          <w:numId w:val="2"/>
        </w:numPr>
        <w:spacing w:before="40" w:after="40"/>
      </w:pPr>
      <w:r>
        <w:rPr>
          <w:rFonts w:ascii="Arial" w:cs="Arial" w:eastAsia="Arial" w:hAnsi="Arial"/>
          <w:color w:val="333333"/>
          <w:sz w:val="19"/>
          <w:szCs w:val="19"/>
        </w:rPr>
        <w:t xml:space="preserve">Network Throughput: First seed backup (full) will consume significant bandwidth regardless of method — schedule during off-peak periods.</w:t>
      </w:r>
    </w:p>
    <w:p>
      <w:pPr>
        <w:pStyle w:val="ListParagraph"/>
        <w:numPr>
          <w:ilvl w:val="0"/>
          <w:numId w:val="2"/>
        </w:numPr>
        <w:spacing w:before="40" w:after="40"/>
      </w:pPr>
      <w:r>
        <w:rPr>
          <w:rFonts w:ascii="Arial" w:cs="Arial" w:eastAsia="Arial" w:hAnsi="Arial"/>
          <w:color w:val="333333"/>
          <w:sz w:val="19"/>
          <w:szCs w:val="19"/>
        </w:rPr>
        <w:t xml:space="preserve">Oracle Support Boundary: SBT is Oracle-certified; Agent Adapter may require Cohesity support engagement if Oracle raises a SR (Service Request) involving the backup interface.</w:t>
      </w:r>
    </w:p>
    <w:p>
      <w:pPr>
        <w:pStyle w:val="ListParagraph"/>
        <w:numPr>
          <w:ilvl w:val="0"/>
          <w:numId w:val="2"/>
        </w:numPr>
        <w:spacing w:before="40" w:after="40"/>
      </w:pPr>
      <w:r>
        <w:rPr>
          <w:rFonts w:ascii="Arial" w:cs="Arial" w:eastAsia="Arial" w:hAnsi="Arial"/>
          <w:color w:val="333333"/>
          <w:sz w:val="19"/>
          <w:szCs w:val="19"/>
        </w:rPr>
        <w:t xml:space="preserve">Hybrid Management Overhead: Running two methods simultaneously requires clear documentation, separate monitoring views, and DBA awareness of which method applies per database.</w:t>
      </w:r>
    </w:p>
    <w:p>
      <w:pPr>
        <w:pStyle w:val="ListParagraph"/>
        <w:numPr>
          <w:ilvl w:val="0"/>
          <w:numId w:val="2"/>
        </w:numPr>
        <w:spacing w:before="40" w:after="40"/>
      </w:pPr>
      <w:r>
        <w:rPr>
          <w:rFonts w:ascii="Arial" w:cs="Arial" w:eastAsia="Arial" w:hAnsi="Arial"/>
          <w:color w:val="333333"/>
          <w:sz w:val="19"/>
          <w:szCs w:val="19"/>
        </w:rPr>
        <w:t xml:space="preserve">Change Control: Agent deployment on DB servers requires OS-level change approval; SBT Plugin can typically be approved as an RMAN configuration change only.</w:t>
      </w:r>
    </w:p>
    <w:p>
      <w:pPr>
        <w:pBdr>
          <w:bottom w:val="single" w:color="2E75B6" w:sz="4" w:space="1"/>
        </w:pBdr>
        <w:spacing w:before="160" w:after="160"/>
      </w:pPr>
    </w:p>
    <w:p>
      <w:pPr>
        <w:pStyle w:val="Heading1"/>
        <w:spacing w:before="280" w:after="140"/>
      </w:pPr>
      <w:r>
        <w:rPr>
          <w:rFonts w:ascii="Arial" w:cs="Arial" w:eastAsia="Arial" w:hAnsi="Arial"/>
          <w:b/>
          <w:bCs/>
          <w:color w:val="1F4E79"/>
          <w:sz w:val="28"/>
          <w:szCs w:val="28"/>
        </w:rPr>
        <w:t xml:space="preserve">10. Conclusion</w:t>
      </w:r>
    </w:p>
    <w:p>
      <w:pPr>
        <w:spacing w:before="60" w:after="100"/>
      </w:pPr>
      <w:r>
        <w:rPr>
          <w:rFonts w:ascii="Arial" w:cs="Arial" w:eastAsia="Arial" w:hAnsi="Arial"/>
          <w:color w:val="333333"/>
          <w:sz w:val="20"/>
          <w:szCs w:val="20"/>
        </w:rPr>
        <w:t xml:space="preserve">Both Cohesity integration methods deliver substantial improvements over the existing RMAN/NFS architecture across all key metrics — backup speed, storage efficiency, recovery time, and security. The choice between the Agent Adapter and SBT Plugin should be driven by database tier requirements and operational constraints rather than treated as a binary organisation-wide decision.</w:t>
      </w:r>
    </w:p>
    <w:p>
      <w:pPr>
        <w:spacing w:before="60" w:after="100"/>
      </w:pPr>
      <w:r>
        <w:rPr>
          <w:rFonts w:ascii="Arial" w:cs="Arial" w:eastAsia="Arial" w:hAnsi="Arial"/>
          <w:color w:val="333333"/>
          <w:sz w:val="20"/>
          <w:szCs w:val="20"/>
        </w:rPr>
        <w:t xml:space="preserve">The Agent Adapter is the superior technical choice for databases demanding the lowest possible RTO/RPO, where instant recovery, Change Block Tracking, and granular object recovery provide clear business value. The SBT Plugin is the right choice where migration speed, minimal disruption, Oracle supportability, and operational familiarity are the primary concerns.</w:t>
      </w:r>
    </w:p>
    <w:p>
      <w:pPr>
        <w:spacing w:before="60" w:after="100"/>
      </w:pPr>
      <w:r>
        <w:rPr>
          <w:rFonts w:ascii="Arial" w:cs="Arial" w:eastAsia="Arial" w:hAnsi="Arial"/>
          <w:color w:val="333333"/>
          <w:sz w:val="20"/>
          <w:szCs w:val="20"/>
        </w:rPr>
        <w:t xml:space="preserve">The recommended approach is a tiered hybrid deployment: Agent Adapter for Tier-1 mission-critical databases, SBT Plugin for all other tiers. Both methods can coexist within the same Cohesity cluster and be managed through the unified Helios console.</w:t>
      </w:r>
    </w:p>
    <w:p>
      <w:pPr>
        <w:spacing w:before="200"/>
      </w:pPr>
    </w:p>
    <w:p>
      <w:pPr>
        <w:pBdr>
          <w:top w:val="single" w:color="2E75B6" w:sz="6" w:space="4"/>
          <w:bottom w:val="single" w:color="2E75B6" w:sz="6" w:space="4"/>
        </w:pBdr>
        <w:spacing w:before="100" w:after="100"/>
        <w:jc w:val="center"/>
      </w:pPr>
      <w:r>
        <w:rPr>
          <w:rFonts w:ascii="Arial" w:cs="Arial" w:eastAsia="Arial" w:hAnsi="Arial"/>
          <w:i/>
          <w:iCs/>
          <w:color w:val="555555"/>
          <w:sz w:val="18"/>
          <w:szCs w:val="18"/>
        </w:rPr>
        <w:t xml:space="preserve">Document prepared by Infrastructure &amp; DBA Team  |  For internal review and approval</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00"/>
    </w:pPr>
    <w:r>
      <w:rPr>
        <w:rFonts w:ascii="Arial" w:cs="Arial" w:eastAsia="Arial" w:hAnsi="Arial"/>
        <w:color w:val="888888"/>
        <w:sz w:val="16"/>
        <w:szCs w:val="16"/>
      </w:rPr>
      <w:t xml:space="preserve">Internal Use Only  |  Page </w:t>
    </w:r>
    <w:fldSimple w:instr="PAGE"/>
    <w:r>
      <w:rPr>
        <w:rFonts w:ascii="Arial" w:cs="Arial" w:eastAsia="Arial" w:hAnsi="Arial"/>
        <w:color w:val="888888"/>
        <w:sz w:val="16"/>
        <w:szCs w:val="16"/>
      </w:rPr>
      <w:t xml:space="preserve">	Prepared by: Infrastructure &amp; DBA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pPr>
    <w:r>
      <w:rPr>
        <w:rFonts w:ascii="Arial" w:cs="Arial" w:eastAsia="Arial" w:hAnsi="Arial"/>
        <w:b/>
        <w:bCs/>
        <w:color w:val="1F4E79"/>
        <w:sz w:val="18"/>
        <w:szCs w:val="18"/>
      </w:rPr>
      <w:t xml:space="preserve">Oracle Database Backup Migration: RMAN/NFS vs Cohesity Agent Adapter vs SBT Plugin</w:t>
    </w:r>
    <w:r>
      <w:rPr>
        <w:rFonts w:ascii="Arial" w:cs="Arial" w:eastAsia="Arial" w:hAnsi="Arial"/>
        <w:color w:val="888888"/>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2874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2026-03-12T08:24:29.930Z</dcterms:created>
  <dcterms:modified xsi:type="dcterms:W3CDTF">2026-03-12T08:24:29.930Z</dcterms:modified>
</cp:coreProperties>
</file>

<file path=docProps/custom.xml><?xml version="1.0" encoding="utf-8"?>
<Properties xmlns="http://schemas.openxmlformats.org/officeDocument/2006/custom-properties" xmlns:vt="http://schemas.openxmlformats.org/officeDocument/2006/docPropsVTypes"/>
</file>