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0"/>
      </w:pPr>
      <w:r>
        <w:t xml:space="preserve"/>
      </w:r>
    </w:p>
    <w:p>
      <w:pPr>
        <w:spacing w:before="0" w:after="60"/>
        <w:jc w:val="center"/>
      </w:pPr>
      <w:r>
        <w:rPr>
          <w:rFonts w:ascii="Calibri" w:cs="Calibri" w:eastAsia="Calibri" w:hAnsi="Calibri"/>
          <w:b/>
          <w:bCs/>
          <w:color w:val="1B2A4A"/>
          <w:sz w:val="52"/>
          <w:szCs w:val="52"/>
        </w:rPr>
        <w:t xml:space="preserve">ZSD Oracle Database Recovery</w:t>
      </w:r>
    </w:p>
    <w:p>
      <w:pPr>
        <w:spacing w:before="0" w:after="60"/>
        <w:jc w:val="center"/>
      </w:pPr>
      <w:r>
        <w:rPr>
          <w:rFonts w:ascii="Calibri" w:cs="Calibri" w:eastAsia="Calibri" w:hAnsi="Calibri"/>
          <w:b/>
          <w:bCs/>
          <w:color w:val="1D4ED8"/>
          <w:sz w:val="34"/>
          <w:szCs w:val="34"/>
        </w:rPr>
        <w:t xml:space="preserve">Recovery Time Objective (RTO) Establishment</w:t>
      </w:r>
    </w:p>
    <w:p>
      <w:pPr>
        <w:spacing w:before="0" w:after="280"/>
        <w:jc w:val="center"/>
      </w:pPr>
      <w:r>
        <w:rPr>
          <w:rFonts w:ascii="Calibri" w:cs="Calibri" w:eastAsia="Calibri" w:hAnsi="Calibri"/>
          <w:i/>
          <w:iCs/>
          <w:color w:val="475569"/>
          <w:sz w:val="22"/>
          <w:szCs w:val="22"/>
        </w:rPr>
        <w:t xml:space="preserve">Audit Remediation Response  |  MRA-002 / SII  |  Cohesity DataProtect</w:t>
      </w: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tblGrid>
      <w:tr>
        <w:tc>
          <w:tcPr>
            <w:tcW w:type="dxa" w:w="24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Audit Finding Reference</w:t>
            </w:r>
          </w:p>
        </w:tc>
        <w:tc>
          <w:tcPr>
            <w:tcW w:type="dxa" w:w="3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MRA-002 — Establish RTOs for Cyber Event Recovery</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Databases in Scope</w:t>
            </w:r>
          </w:p>
        </w:tc>
        <w:tc>
          <w:tcPr>
            <w:tcW w:type="dxa" w:w="3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ZSD-PROD, ZSD-RPT, ZSD-ARCH</w:t>
            </w:r>
          </w:p>
        </w:tc>
      </w:tr>
      <w:tr>
        <w:tc>
          <w:tcPr>
            <w:tcW w:type="dxa" w:w="24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Backup Platform</w:t>
            </w:r>
          </w:p>
        </w:tc>
        <w:tc>
          <w:tcPr>
            <w:tcW w:type="dxa" w:w="3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Cohesity DataProtect (Weekly Full / Daily Incr / Hourly Log)</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Compliance Frameworks</w:t>
            </w:r>
          </w:p>
        </w:tc>
        <w:tc>
          <w:tcPr>
            <w:tcW w:type="dxa" w:w="3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PCI-DSS, SOX, ISO 22301</w:t>
            </w:r>
          </w:p>
        </w:tc>
      </w:tr>
      <w:tr>
        <w:tc>
          <w:tcPr>
            <w:tcW w:type="dxa" w:w="24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Document Owner</w:t>
            </w:r>
          </w:p>
        </w:tc>
        <w:tc>
          <w:tcPr>
            <w:tcW w:type="dxa" w:w="3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DBA Team / IT Infrastructure</w:t>
            </w:r>
          </w:p>
        </w:tc>
      </w:tr>
      <w:tr>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Version</w:t>
            </w:r>
          </w:p>
        </w:tc>
        <w:tc>
          <w:tcPr>
            <w:tcW w:type="dxa" w:w="3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1.0  —  Initial RTO Establishment</w:t>
            </w:r>
          </w:p>
        </w:tc>
      </w:tr>
      <w:tr>
        <w:tc>
          <w:tcPr>
            <w:tcW w:type="dxa" w:w="24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Status</w:t>
            </w:r>
          </w:p>
        </w:tc>
        <w:tc>
          <w:tcPr>
            <w:tcW w:type="dxa" w:w="3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DRAFT — Pending Business Sign-Off</w:t>
            </w:r>
          </w:p>
        </w:tc>
      </w:tr>
    </w:tbl>
    <w:p>
      <w:pPr>
        <w:spacing w:before="300" w:after="0"/>
      </w:pPr>
      <w:r>
        <w:t xml:space="preserve"/>
      </w:r>
    </w:p>
    <w:p>
      <w:pPr>
        <w:pBdr>
          <w:left w:val="single" w:color="1D4ED8" w:sz="14" w:space="5"/>
        </w:pBdr>
        <w:shd w:fill="DBEAFE" w:val="clear"/>
        <w:spacing w:before="80" w:after="80"/>
        <w:ind w:left="180" w:right="180"/>
      </w:pPr>
      <w:r>
        <w:rPr>
          <w:rFonts w:ascii="Calibri" w:cs="Calibri" w:eastAsia="Calibri" w:hAnsi="Calibri"/>
          <w:b w:val="false"/>
          <w:bCs w:val="false"/>
          <w:color w:val="1E293B"/>
          <w:sz w:val="19"/>
          <w:szCs w:val="19"/>
        </w:rPr>
        <w:t xml:space="preserve">This document is prepared in direct response to Audit Remediation Action 2 (MRA-002), which requires the DBA team to formally establish, test, and document Recovery Time Objectives for all ZSD Oracle databases as the basis for backup and recovery requirements in a cyber event scenario.</w:t>
      </w:r>
    </w:p>
    <w:p>
      <w:r>
        <w:br w:type="page"/>
      </w:r>
    </w:p>
    <w:p>
      <w:pPr>
        <w:pStyle w:val="Heading1"/>
        <w:pBdr>
          <w:bottom w:val="single" w:color="1D4ED8" w:sz="6" w:space="1"/>
        </w:pBdr>
        <w:spacing w:before="220" w:after="80"/>
      </w:pPr>
      <w:r>
        <w:rPr>
          <w:rFonts w:ascii="Calibri" w:cs="Calibri" w:eastAsia="Calibri" w:hAnsi="Calibri"/>
          <w:b/>
          <w:bCs/>
          <w:color w:val="1B2A4A"/>
          <w:sz w:val="26"/>
          <w:szCs w:val="26"/>
        </w:rPr>
        <w:t xml:space="preserve">1. Audit Finding &amp; Remediation Commitment</w:t>
      </w:r>
    </w:p>
    <w:p>
      <w:pPr>
        <w:spacing w:before="50" w:after="50"/>
      </w:pPr>
      <w:r>
        <w:rPr>
          <w:rFonts w:ascii="Calibri" w:cs="Calibri" w:eastAsia="Calibri" w:hAnsi="Calibri"/>
          <w:b w:val="false"/>
          <w:bCs w:val="false"/>
          <w:color w:val="1E293B"/>
          <w:sz w:val="20"/>
          <w:szCs w:val="20"/>
        </w:rPr>
        <w:t xml:space="preserve">The audit team (MRA-002 / Self-Identified Issue) identified that Recovery Time Objectives had not been formally established for ZSD Oracle databases as a basis for backup technology selection and cyber event recovery planning. This document constitutes the formal remediation response, addressing all three required actions:</w:t>
      </w:r>
    </w:p>
    <w:p>
      <w:pPr>
        <w:spacing w:before="60" w:after="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4344"/>
        <w:gridCol w:w="3000"/>
      </w:tblGrid>
      <w:tr>
        <w:tc>
          <w:tcPr>
            <w:tcW w:type="dxa" w:w="48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
            </w:r>
          </w:p>
        </w:tc>
        <w:tc>
          <w:tcPr>
            <w:tcW w:type="dxa" w:w="24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Required Action</w:t>
            </w:r>
          </w:p>
        </w:tc>
        <w:tc>
          <w:tcPr>
            <w:tcW w:type="dxa" w:w="434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Audit Expectation</w:t>
            </w:r>
          </w:p>
        </w:tc>
        <w:tc>
          <w:tcPr>
            <w:tcW w:type="dxa" w:w="30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Status in This Document</w:t>
            </w:r>
          </w:p>
        </w:tc>
      </w:tr>
      <w:tr>
        <w:tc>
          <w:tcPr>
            <w:tcW w:type="dxa" w:w="4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1</w:t>
            </w:r>
          </w:p>
        </w:tc>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Business Impact Analysis (BIA)</w:t>
            </w:r>
          </w:p>
        </w:tc>
        <w:tc>
          <w:tcPr>
            <w:tcW w:type="dxa" w:w="43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Collaborate with business units to understand criticality of ZSD Oracle databases and downtime impact on operations.</w:t>
            </w:r>
          </w:p>
        </w:tc>
        <w:tc>
          <w:tcPr>
            <w:tcW w:type="dxa" w:w="30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left"/>
            </w:pPr>
            <w:r>
              <w:rPr>
                <w:rFonts w:ascii="Calibri" w:cs="Calibri" w:eastAsia="Calibri" w:hAnsi="Calibri"/>
                <w:b w:val="false"/>
                <w:bCs w:val="false"/>
                <w:color w:val="166534"/>
                <w:sz w:val="19"/>
                <w:szCs w:val="19"/>
              </w:rPr>
              <w:t xml:space="preserve">Section 2 — BIA completed; criticality and impact documented per database.</w:t>
            </w:r>
          </w:p>
        </w:tc>
      </w:tr>
      <w:tr>
        <w:tc>
          <w:tcPr>
            <w:tcW w:type="dxa" w:w="4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2</w:t>
            </w:r>
          </w:p>
        </w:tc>
        <w:tc>
          <w:tcPr>
            <w:tcW w:type="dxa" w:w="2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Define RTOs</w:t>
            </w:r>
          </w:p>
        </w:tc>
        <w:tc>
          <w:tcPr>
            <w:tcW w:type="dxa" w:w="43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For each critical database, determine maximum acceptable downtime before severe business impact occurs.</w:t>
            </w:r>
          </w:p>
        </w:tc>
        <w:tc>
          <w:tcPr>
            <w:tcW w:type="dxa" w:w="30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66534"/>
                <w:sz w:val="19"/>
                <w:szCs w:val="19"/>
              </w:rPr>
              <w:t xml:space="preserve">Section 3 — RTOs formally defined per database, informed by BIA output.</w:t>
            </w:r>
          </w:p>
        </w:tc>
      </w:tr>
      <w:tr>
        <w:tc>
          <w:tcPr>
            <w:tcW w:type="dxa" w:w="4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3</w:t>
            </w:r>
          </w:p>
        </w:tc>
        <w:tc>
          <w:tcPr>
            <w:tcW w:type="dxa" w:w="2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Document RTOs</w:t>
            </w:r>
          </w:p>
        </w:tc>
        <w:tc>
          <w:tcPr>
            <w:tcW w:type="dxa" w:w="43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Formally document agreed-upon RTOs, ensuring alignment with business needs and regulatory requirements.</w:t>
            </w:r>
          </w:p>
        </w:tc>
        <w:tc>
          <w:tcPr>
            <w:tcW w:type="dxa" w:w="30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left"/>
            </w:pPr>
            <w:r>
              <w:rPr>
                <w:rFonts w:ascii="Calibri" w:cs="Calibri" w:eastAsia="Calibri" w:hAnsi="Calibri"/>
                <w:b w:val="false"/>
                <w:bCs w:val="false"/>
                <w:color w:val="166534"/>
                <w:sz w:val="19"/>
                <w:szCs w:val="19"/>
              </w:rPr>
              <w:t xml:space="preserve">Sections 3 &amp; 4 — RTOs documented with recovery test evidence and regulatory alignment.</w:t>
            </w:r>
          </w:p>
        </w:tc>
      </w:tr>
    </w:tbl>
    <w:p>
      <w:pPr>
        <w:spacing w:before="120" w:after="0"/>
      </w:pPr>
      <w:r>
        <w:t xml:space="preserve"/>
      </w:r>
    </w:p>
    <w:p>
      <w:pPr>
        <w:pStyle w:val="Heading1"/>
        <w:pBdr>
          <w:bottom w:val="single" w:color="1D4ED8" w:sz="6" w:space="1"/>
        </w:pBdr>
        <w:spacing w:before="220" w:after="80"/>
      </w:pPr>
      <w:r>
        <w:rPr>
          <w:rFonts w:ascii="Calibri" w:cs="Calibri" w:eastAsia="Calibri" w:hAnsi="Calibri"/>
          <w:b/>
          <w:bCs/>
          <w:color w:val="1B2A4A"/>
          <w:sz w:val="26"/>
          <w:szCs w:val="26"/>
        </w:rPr>
        <w:t xml:space="preserve">2. Business Impact Analysis (BIA)</w:t>
      </w:r>
    </w:p>
    <w:p>
      <w:pPr>
        <w:spacing w:before="50" w:after="50"/>
      </w:pPr>
      <w:r>
        <w:rPr>
          <w:rFonts w:ascii="Calibri" w:cs="Calibri" w:eastAsia="Calibri" w:hAnsi="Calibri"/>
          <w:b w:val="false"/>
          <w:bCs w:val="false"/>
          <w:color w:val="1E293B"/>
          <w:sz w:val="20"/>
          <w:szCs w:val="20"/>
        </w:rPr>
        <w:t xml:space="preserve">The DBA team collaborated with business and product stakeholders to assess the criticality of each ZSD Oracle database and the potential operational, financial, and regulatory impact of extended downtime. The findings below reflect those discussions and form the basis for RTO determination.</w:t>
      </w:r>
    </w:p>
    <w:p>
      <w:pPr>
        <w:spacing w:before="80" w:after="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524"/>
        <w:gridCol w:w="1800"/>
        <w:gridCol w:w="1600"/>
        <w:gridCol w:w="2600"/>
      </w:tblGrid>
      <w:tr>
        <w:tc>
          <w:tcPr>
            <w:tcW w:type="dxa" w:w="13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Database</w:t>
            </w:r>
          </w:p>
        </w:tc>
        <w:tc>
          <w:tcPr>
            <w:tcW w:type="dxa" w:w="14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Function</w:t>
            </w:r>
          </w:p>
        </w:tc>
        <w:tc>
          <w:tcPr>
            <w:tcW w:type="dxa" w:w="152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Business Owner</w:t>
            </w:r>
          </w:p>
        </w:tc>
        <w:tc>
          <w:tcPr>
            <w:tcW w:type="dxa" w:w="18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Criticality</w:t>
            </w:r>
          </w:p>
        </w:tc>
        <w:tc>
          <w:tcPr>
            <w:tcW w:type="dxa" w:w="16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Max Tolerable Downtime</w:t>
            </w:r>
          </w:p>
        </w:tc>
        <w:tc>
          <w:tcPr>
            <w:tcW w:type="dxa" w:w="26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Impact of Extended Outage</w:t>
            </w:r>
          </w:p>
        </w:tc>
      </w:tr>
      <w:tr>
        <w:tc>
          <w:tcPr>
            <w:tcW w:type="dxa" w:w="1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ZSD-PROD</w:t>
            </w:r>
          </w:p>
        </w:tc>
        <w:tc>
          <w:tcPr>
            <w:tcW w:type="dxa" w:w="1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Primary transactional / operational database</w:t>
            </w:r>
          </w:p>
        </w:tc>
        <w:tc>
          <w:tcPr>
            <w:tcW w:type="dxa" w:w="15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475569"/>
                <w:sz w:val="19"/>
                <w:szCs w:val="19"/>
              </w:rPr>
              <w:t xml:space="preserve">[Business Owner — to be confirmed]</w:t>
            </w:r>
          </w:p>
        </w:tc>
        <w:tc>
          <w:tcPr>
            <w:tcW w:type="dxa" w:w="1800"/>
            <w:tcBorders>
              <w:top w:val="single" w:color="CBD5E1" w:sz="1"/>
              <w:left w:val="single" w:color="CBD5E1" w:sz="1"/>
              <w:bottom w:val="single" w:color="CBD5E1" w:sz="1"/>
              <w:right w:val="single" w:color="CBD5E1" w:sz="1"/>
            </w:tcBorders>
            <w:shd w:fill="FEE2E2" w:val="clear"/>
            <w:tcMar>
              <w:top w:type="dxa" w:w="85"/>
              <w:left w:type="dxa" w:w="120"/>
              <w:bottom w:type="dxa" w:w="85"/>
              <w:right w:type="dxa" w:w="120"/>
            </w:tcMar>
            <w:vAlign w:val="center"/>
          </w:tcPr>
          <w:p>
            <w:pPr>
              <w:jc w:val="center"/>
            </w:pPr>
            <w:r>
              <w:rPr>
                <w:rFonts w:ascii="Calibri" w:cs="Calibri" w:eastAsia="Calibri" w:hAnsi="Calibri"/>
                <w:b/>
                <w:bCs/>
                <w:color w:val="991B1B"/>
                <w:sz w:val="19"/>
                <w:szCs w:val="19"/>
              </w:rPr>
              <w:t xml:space="preserve">CRITICAL</w:t>
            </w:r>
          </w:p>
        </w:tc>
        <w:tc>
          <w:tcPr>
            <w:tcW w:type="dxa" w:w="1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bCs/>
                <w:color w:val="1E293B"/>
                <w:sz w:val="19"/>
                <w:szCs w:val="19"/>
              </w:rPr>
              <w:t xml:space="preserve">4 hours</w:t>
            </w:r>
          </w:p>
        </w:tc>
        <w:tc>
          <w:tcPr>
            <w:tcW w:type="dxa" w:w="2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Direct revenue loss; customer-facing service degradation; PCI-DSS and SOX transaction processing at risk; regulatory reporting failure.</w:t>
            </w:r>
          </w:p>
        </w:tc>
      </w:tr>
      <w:tr>
        <w:tc>
          <w:tcPr>
            <w:tcW w:type="dxa" w:w="1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ZSD-RPT</w:t>
            </w:r>
          </w:p>
        </w:tc>
        <w:tc>
          <w:tcPr>
            <w:tcW w:type="dxa" w:w="14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Reporting &amp; analytics</w:t>
            </w:r>
          </w:p>
        </w:tc>
        <w:tc>
          <w:tcPr>
            <w:tcW w:type="dxa" w:w="15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475569"/>
                <w:sz w:val="19"/>
                <w:szCs w:val="19"/>
              </w:rPr>
              <w:t xml:space="preserve">[Business Owner — to be confirmed]</w:t>
            </w:r>
          </w:p>
        </w:tc>
        <w:tc>
          <w:tcPr>
            <w:tcW w:type="dxa" w:w="18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HIGH</w:t>
            </w:r>
          </w:p>
        </w:tc>
        <w:tc>
          <w:tcPr>
            <w:tcW w:type="dxa" w:w="1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center"/>
            </w:pPr>
            <w:r>
              <w:rPr>
                <w:rFonts w:ascii="Calibri" w:cs="Calibri" w:eastAsia="Calibri" w:hAnsi="Calibri"/>
                <w:b/>
                <w:bCs/>
                <w:color w:val="1E293B"/>
                <w:sz w:val="19"/>
                <w:szCs w:val="19"/>
              </w:rPr>
              <w:t xml:space="preserve">12 hours</w:t>
            </w:r>
          </w:p>
        </w:tc>
        <w:tc>
          <w:tcPr>
            <w:tcW w:type="dxa" w:w="2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Management reporting delays; SOX financial close impact if unavailable during reporting periods; no direct revenue impact.</w:t>
            </w:r>
          </w:p>
        </w:tc>
      </w:tr>
      <w:tr>
        <w:tc>
          <w:tcPr>
            <w:tcW w:type="dxa" w:w="1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ZSD-ARCH</w:t>
            </w:r>
          </w:p>
        </w:tc>
        <w:tc>
          <w:tcPr>
            <w:tcW w:type="dxa" w:w="14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Historical archive / audit trail</w:t>
            </w:r>
          </w:p>
        </w:tc>
        <w:tc>
          <w:tcPr>
            <w:tcW w:type="dxa" w:w="15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475569"/>
                <w:sz w:val="19"/>
                <w:szCs w:val="19"/>
              </w:rPr>
              <w:t xml:space="preserve">[Business Owner — to be confirmed]</w:t>
            </w:r>
          </w:p>
        </w:tc>
        <w:tc>
          <w:tcPr>
            <w:tcW w:type="dxa" w:w="1800"/>
            <w:tcBorders>
              <w:top w:val="single" w:color="CBD5E1" w:sz="1"/>
              <w:left w:val="single" w:color="CBD5E1" w:sz="1"/>
              <w:bottom w:val="single" w:color="CBD5E1" w:sz="1"/>
              <w:right w:val="single" w:color="CBD5E1" w:sz="1"/>
            </w:tcBorders>
            <w:shd w:fill="CCFBF1" w:val="clear"/>
            <w:tcMar>
              <w:top w:type="dxa" w:w="85"/>
              <w:left w:type="dxa" w:w="120"/>
              <w:bottom w:type="dxa" w:w="85"/>
              <w:right w:type="dxa" w:w="120"/>
            </w:tcMar>
            <w:vAlign w:val="center"/>
          </w:tcPr>
          <w:p>
            <w:pPr>
              <w:jc w:val="center"/>
            </w:pPr>
            <w:r>
              <w:rPr>
                <w:rFonts w:ascii="Calibri" w:cs="Calibri" w:eastAsia="Calibri" w:hAnsi="Calibri"/>
                <w:b/>
                <w:bCs/>
                <w:color w:val="0F766E"/>
                <w:sz w:val="19"/>
                <w:szCs w:val="19"/>
              </w:rPr>
              <w:t xml:space="preserve">MEDIUM</w:t>
            </w:r>
          </w:p>
        </w:tc>
        <w:tc>
          <w:tcPr>
            <w:tcW w:type="dxa" w:w="1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bCs/>
                <w:color w:val="1E293B"/>
                <w:sz w:val="19"/>
                <w:szCs w:val="19"/>
              </w:rPr>
              <w:t xml:space="preserve">48 hours</w:t>
            </w:r>
          </w:p>
        </w:tc>
        <w:tc>
          <w:tcPr>
            <w:tcW w:type="dxa" w:w="2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Regulatory audit trail access delayed; no operational impact; compliance risk if prolonged (SOX, PCI-DSS record retention).</w:t>
            </w:r>
          </w:p>
        </w:tc>
      </w:tr>
    </w:tbl>
    <w:p>
      <w:pPr>
        <w:spacing w:before="80" w:after="0"/>
      </w:pPr>
      <w:r>
        <w:t xml:space="preserve"/>
      </w:r>
    </w:p>
    <w:p>
      <w:pPr>
        <w:pBdr>
          <w:left w:val="single" w:color="92400E" w:sz="14" w:space="5"/>
        </w:pBdr>
        <w:shd w:fill="FEF3C7" w:val="clear"/>
        <w:spacing w:before="80" w:after="80"/>
        <w:ind w:left="180" w:right="180"/>
      </w:pPr>
      <w:r>
        <w:rPr>
          <w:rFonts w:ascii="Calibri" w:cs="Calibri" w:eastAsia="Calibri" w:hAnsi="Calibri"/>
          <w:b w:val="false"/>
          <w:bCs w:val="false"/>
          <w:color w:val="1E293B"/>
          <w:sz w:val="19"/>
          <w:szCs w:val="19"/>
        </w:rPr>
        <w:t xml:space="preserve">Action Required: Business owner names above are placeholders. Formal sign-off from each business/product team owner is required before this document is submitted as audit evidence. See Section 6 (Approval).</w:t>
      </w:r>
    </w:p>
    <w:p>
      <w:r>
        <w:br w:type="page"/>
      </w:r>
    </w:p>
    <w:p>
      <w:pPr>
        <w:pStyle w:val="Heading1"/>
        <w:pBdr>
          <w:bottom w:val="single" w:color="1D4ED8" w:sz="6" w:space="1"/>
        </w:pBdr>
        <w:spacing w:before="220" w:after="80"/>
      </w:pPr>
      <w:r>
        <w:rPr>
          <w:rFonts w:ascii="Calibri" w:cs="Calibri" w:eastAsia="Calibri" w:hAnsi="Calibri"/>
          <w:b/>
          <w:bCs/>
          <w:color w:val="1B2A4A"/>
          <w:sz w:val="26"/>
          <w:szCs w:val="26"/>
        </w:rPr>
        <w:t xml:space="preserve">3. Formally Defined RTOs &amp; RPOs</w:t>
      </w:r>
    </w:p>
    <w:p>
      <w:pPr>
        <w:spacing w:before="50" w:after="50"/>
      </w:pPr>
      <w:r>
        <w:rPr>
          <w:rFonts w:ascii="Calibri" w:cs="Calibri" w:eastAsia="Calibri" w:hAnsi="Calibri"/>
          <w:b w:val="false"/>
          <w:bCs w:val="false"/>
          <w:color w:val="1E293B"/>
          <w:sz w:val="20"/>
          <w:szCs w:val="20"/>
        </w:rPr>
        <w:t xml:space="preserve">Based on the BIA in Section 2 and the recovery test evidence in Section 4, the following RTOs and RPOs are hereby formally established for each ZSD Oracle database. These values are informed by business-stated tolerance, regulatory obligations, and technically validated recovery capabilities.</w:t>
      </w:r>
    </w:p>
    <w:p>
      <w:pPr>
        <w:spacing w:before="80" w:after="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24"/>
        <w:gridCol w:w="1500"/>
        <w:gridCol w:w="1500"/>
        <w:gridCol w:w="3300"/>
      </w:tblGrid>
      <w:tr>
        <w:tc>
          <w:tcPr>
            <w:tcW w:type="dxa" w:w="13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Database</w:t>
            </w:r>
          </w:p>
        </w:tc>
        <w:tc>
          <w:tcPr>
            <w:tcW w:type="dxa" w:w="13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RTO Target</w:t>
            </w:r>
          </w:p>
        </w:tc>
        <w:tc>
          <w:tcPr>
            <w:tcW w:type="dxa" w:w="132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RPO Target</w:t>
            </w:r>
          </w:p>
        </w:tc>
        <w:tc>
          <w:tcPr>
            <w:tcW w:type="dxa" w:w="15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Recovery Strategy</w:t>
            </w:r>
          </w:p>
        </w:tc>
        <w:tc>
          <w:tcPr>
            <w:tcW w:type="dxa" w:w="15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Regulatory Basis</w:t>
            </w:r>
          </w:p>
        </w:tc>
        <w:tc>
          <w:tcPr>
            <w:tcW w:type="dxa" w:w="33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1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ZSD-PROD</w:t>
            </w:r>
          </w:p>
        </w:tc>
        <w:tc>
          <w:tcPr>
            <w:tcW w:type="dxa" w:w="13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12 Hours*</w:t>
            </w:r>
          </w:p>
        </w:tc>
        <w:tc>
          <w:tcPr>
            <w:tcW w:type="dxa" w:w="13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bCs/>
                <w:color w:val="1E293B"/>
                <w:sz w:val="19"/>
                <w:szCs w:val="19"/>
              </w:rPr>
              <w:t xml:space="preserve">1 Hour</w:t>
            </w:r>
          </w:p>
        </w:tc>
        <w:tc>
          <w:tcPr>
            <w:tcW w:type="dxa" w:w="15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Tiered restore (critical schemas first)</w:t>
            </w:r>
          </w:p>
        </w:tc>
        <w:tc>
          <w:tcPr>
            <w:tcW w:type="dxa" w:w="15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PCI-DSS Req 12.3, SOX ITGC, ISO 22301</w:t>
            </w:r>
          </w:p>
        </w:tc>
        <w:tc>
          <w:tcPr>
            <w:tcW w:type="dxa" w:w="3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12-hour RTO assumed pending formal BIA sign-off. Tiered strategy required at 200TB scale — see Section 4. Full DB restore estimated 36–72 hrs; critical data tier targetable within 12 hrs.</w:t>
            </w:r>
          </w:p>
        </w:tc>
      </w:tr>
      <w:tr>
        <w:tc>
          <w:tcPr>
            <w:tcW w:type="dxa" w:w="1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ZSD-RPT</w:t>
            </w:r>
          </w:p>
        </w:tc>
        <w:tc>
          <w:tcPr>
            <w:tcW w:type="dxa" w:w="13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12 Hours</w:t>
            </w:r>
          </w:p>
        </w:tc>
        <w:tc>
          <w:tcPr>
            <w:tcW w:type="dxa" w:w="13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center"/>
            </w:pPr>
            <w:r>
              <w:rPr>
                <w:rFonts w:ascii="Calibri" w:cs="Calibri" w:eastAsia="Calibri" w:hAnsi="Calibri"/>
                <w:b/>
                <w:bCs/>
                <w:color w:val="1E293B"/>
                <w:sz w:val="19"/>
                <w:szCs w:val="19"/>
              </w:rPr>
              <w:t xml:space="preserve">24 Hours</w:t>
            </w:r>
          </w:p>
        </w:tc>
        <w:tc>
          <w:tcPr>
            <w:tcW w:type="dxa" w:w="15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Full restore from daily incremental snapshot</w:t>
            </w:r>
          </w:p>
        </w:tc>
        <w:tc>
          <w:tcPr>
            <w:tcW w:type="dxa" w:w="15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SOX financial reporting controls</w:t>
            </w:r>
          </w:p>
        </w:tc>
        <w:tc>
          <w:tcPr>
            <w:tcW w:type="dxa" w:w="33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Reporting DB can tolerate up to 24-hr data loss without SOX impact outside financial close periods. Enhanced RPO (4 hrs) required during quarterly/annual close.</w:t>
            </w:r>
          </w:p>
        </w:tc>
      </w:tr>
      <w:tr>
        <w:tc>
          <w:tcPr>
            <w:tcW w:type="dxa" w:w="1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ZSD-ARCH</w:t>
            </w:r>
          </w:p>
        </w:tc>
        <w:tc>
          <w:tcPr>
            <w:tcW w:type="dxa" w:w="13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48 Hours</w:t>
            </w:r>
          </w:p>
        </w:tc>
        <w:tc>
          <w:tcPr>
            <w:tcW w:type="dxa" w:w="13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bCs/>
                <w:color w:val="1E293B"/>
                <w:sz w:val="19"/>
                <w:szCs w:val="19"/>
              </w:rPr>
              <w:t xml:space="preserve">24 Hours</w:t>
            </w:r>
          </w:p>
        </w:tc>
        <w:tc>
          <w:tcPr>
            <w:tcW w:type="dxa" w:w="15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Full restore from weekly full + daily incremental</w:t>
            </w:r>
          </w:p>
        </w:tc>
        <w:tc>
          <w:tcPr>
            <w:tcW w:type="dxa" w:w="15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PCI-DSS Req 10.7, SOX record retention</w:t>
            </w:r>
          </w:p>
        </w:tc>
        <w:tc>
          <w:tcPr>
            <w:tcW w:type="dxa" w:w="33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Archive/audit trail. No operational dependency. 48-hr RTO aligns with regulatory access requirements for audit evidence retrieval.</w:t>
            </w:r>
          </w:p>
        </w:tc>
      </w:tr>
    </w:tbl>
    <w:p>
      <w:pPr>
        <w:spacing w:before="70" w:after="0"/>
      </w:pPr>
      <w:r>
        <w:t xml:space="preserve"/>
      </w:r>
    </w:p>
    <w:p>
      <w:pPr>
        <w:pBdr>
          <w:left w:val="single" w:color="92400E" w:sz="14" w:space="5"/>
        </w:pBdr>
        <w:shd w:fill="FEF3C7" w:val="clear"/>
        <w:spacing w:before="80" w:after="80"/>
        <w:ind w:left="180" w:right="180"/>
      </w:pPr>
      <w:r>
        <w:rPr>
          <w:rFonts w:ascii="Calibri" w:cs="Calibri" w:eastAsia="Calibri" w:hAnsi="Calibri"/>
          <w:b w:val="false"/>
          <w:bCs w:val="false"/>
          <w:color w:val="1E293B"/>
          <w:sz w:val="19"/>
          <w:szCs w:val="19"/>
        </w:rPr>
        <w:t xml:space="preserve">* ZSD-PROD 12-hour RTO is achievable only through a tiered recovery strategy (prioritising critical tablespaces and schemas). A full 200TB restore is estimated at 36–72 hours — see Section 4. This is explicitly disclosed to the audit team as part of this remediation.</w:t>
      </w:r>
    </w:p>
    <w:p>
      <w:pPr>
        <w:spacing w:before="100" w:after="0"/>
      </w:pPr>
      <w:r>
        <w:t xml:space="preserve"/>
      </w:r>
    </w:p>
    <w:p>
      <w:pPr>
        <w:pStyle w:val="Heading1"/>
        <w:pBdr>
          <w:bottom w:val="single" w:color="1D4ED8" w:sz="6" w:space="1"/>
        </w:pBdr>
        <w:spacing w:before="220" w:after="80"/>
      </w:pPr>
      <w:r>
        <w:rPr>
          <w:rFonts w:ascii="Calibri" w:cs="Calibri" w:eastAsia="Calibri" w:hAnsi="Calibri"/>
          <w:b/>
          <w:bCs/>
          <w:color w:val="1B2A4A"/>
          <w:sz w:val="26"/>
          <w:szCs w:val="26"/>
        </w:rPr>
        <w:t xml:space="preserve">4. Cohesity Backup Policy — ZSD Oracle Databases</w:t>
      </w:r>
    </w:p>
    <w:p>
      <w:pPr>
        <w:spacing w:before="50" w:after="50"/>
      </w:pPr>
      <w:r>
        <w:rPr>
          <w:rFonts w:ascii="Calibri" w:cs="Calibri" w:eastAsia="Calibri" w:hAnsi="Calibri"/>
          <w:b w:val="false"/>
          <w:bCs w:val="false"/>
          <w:color w:val="1E293B"/>
          <w:sz w:val="20"/>
          <w:szCs w:val="20"/>
        </w:rPr>
        <w:t xml:space="preserve">The following Cohesity DataProtect backup schedule underpins the RPO commitments above and determines the available restore points during a cyber incident recovery.</w:t>
      </w:r>
    </w:p>
    <w:p>
      <w:pPr>
        <w:spacing w:before="70" w:after="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600"/>
        <w:gridCol w:w="1604"/>
        <w:gridCol w:w="1604"/>
        <w:gridCol w:w="1604"/>
        <w:gridCol w:w="1604"/>
        <w:gridCol w:w="2208"/>
      </w:tblGrid>
      <w:tr>
        <w:tc>
          <w:tcPr>
            <w:tcW w:type="dxa" w:w="16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Backup Type</w:t>
            </w:r>
          </w:p>
        </w:tc>
        <w:tc>
          <w:tcPr>
            <w:tcW w:type="dxa" w:w="160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Frequency</w:t>
            </w:r>
          </w:p>
        </w:tc>
        <w:tc>
          <w:tcPr>
            <w:tcW w:type="dxa" w:w="160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Retention</w:t>
            </w:r>
          </w:p>
        </w:tc>
        <w:tc>
          <w:tcPr>
            <w:tcW w:type="dxa" w:w="160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DataLock (WORM)</w:t>
            </w:r>
          </w:p>
        </w:tc>
        <w:tc>
          <w:tcPr>
            <w:tcW w:type="dxa" w:w="160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Applies To</w:t>
            </w:r>
          </w:p>
        </w:tc>
        <w:tc>
          <w:tcPr>
            <w:tcW w:type="dxa" w:w="2208"/>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Cyber Incident Relevance</w:t>
            </w:r>
          </w:p>
        </w:tc>
      </w:tr>
      <w:tr>
        <w:tc>
          <w:tcPr>
            <w:tcW w:type="dxa" w:w="1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Weekly Full Backup</w:t>
            </w:r>
          </w:p>
        </w:tc>
        <w:tc>
          <w:tcPr>
            <w:tcW w:type="dxa" w:w="160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Every Sunday 22:00</w:t>
            </w:r>
          </w:p>
        </w:tc>
        <w:tc>
          <w:tcPr>
            <w:tcW w:type="dxa" w:w="160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4 weeks local / 12 weeks DR site</w:t>
            </w:r>
          </w:p>
        </w:tc>
        <w:tc>
          <w:tcPr>
            <w:tcW w:type="dxa" w:w="1604"/>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WORM Active</w:t>
            </w:r>
          </w:p>
        </w:tc>
        <w:tc>
          <w:tcPr>
            <w:tcW w:type="dxa" w:w="160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ZSD-PROD, ZSD-RPT, ZSD-ARCH</w:t>
            </w:r>
          </w:p>
        </w:tc>
        <w:tc>
          <w:tcPr>
            <w:tcW w:type="dxa" w:w="2208"/>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Provides guaranteed full restore baseline. DataLock ensures ransomware cannot delete or encrypt this copy.</w:t>
            </w:r>
          </w:p>
        </w:tc>
      </w:tr>
      <w:tr>
        <w:tc>
          <w:tcPr>
            <w:tcW w:type="dxa" w:w="16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Daily Incremental Backup</w:t>
            </w:r>
          </w:p>
        </w:tc>
        <w:tc>
          <w:tcPr>
            <w:tcW w:type="dxa" w:w="160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Daily 22:00 (Mon–Sat)</w:t>
            </w:r>
          </w:p>
        </w:tc>
        <w:tc>
          <w:tcPr>
            <w:tcW w:type="dxa" w:w="160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30 days local / 60 days DR site</w:t>
            </w:r>
          </w:p>
        </w:tc>
        <w:tc>
          <w:tcPr>
            <w:tcW w:type="dxa" w:w="1604"/>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WORM Active</w:t>
            </w:r>
          </w:p>
        </w:tc>
        <w:tc>
          <w:tcPr>
            <w:tcW w:type="dxa" w:w="160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ZSD-PROD, ZSD-RPT, ZSD-ARCH</w:t>
            </w:r>
          </w:p>
        </w:tc>
        <w:tc>
          <w:tcPr>
            <w:tcW w:type="dxa" w:w="2208"/>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Reduces restore scope to incremental changes since last full. Combined with full = restore to any day within 30 days.</w:t>
            </w:r>
          </w:p>
        </w:tc>
      </w:tr>
      <w:tr>
        <w:tc>
          <w:tcPr>
            <w:tcW w:type="dxa" w:w="16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Hourly Archive Log Backup</w:t>
            </w:r>
          </w:p>
        </w:tc>
        <w:tc>
          <w:tcPr>
            <w:tcW w:type="dxa" w:w="160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Every 1 hour</w:t>
            </w:r>
          </w:p>
        </w:tc>
        <w:tc>
          <w:tcPr>
            <w:tcW w:type="dxa" w:w="160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7 days local / 30 days DR site</w:t>
            </w:r>
          </w:p>
        </w:tc>
        <w:tc>
          <w:tcPr>
            <w:tcW w:type="dxa" w:w="1604"/>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WORM Active</w:t>
            </w:r>
          </w:p>
        </w:tc>
        <w:tc>
          <w:tcPr>
            <w:tcW w:type="dxa" w:w="160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ZSD-PROD (primary)</w:t>
            </w:r>
          </w:p>
        </w:tc>
        <w:tc>
          <w:tcPr>
            <w:tcW w:type="dxa" w:w="2208"/>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Enables point-in-time recovery within 1-hour granularity. Critical for ZSD-PROD RPO = 1 hour.</w:t>
            </w:r>
          </w:p>
        </w:tc>
      </w:tr>
    </w:tbl>
    <w:p>
      <w:pPr>
        <w:spacing w:before="70" w:after="0"/>
      </w:pPr>
      <w:r>
        <w:t xml:space="preserve"/>
      </w:r>
    </w:p>
    <w:p>
      <w:pPr>
        <w:pBdr>
          <w:left w:val="single" w:color="0F766E" w:sz="14" w:space="5"/>
        </w:pBdr>
        <w:shd w:fill="DCFCE7" w:val="clear"/>
        <w:spacing w:before="80" w:after="80"/>
        <w:ind w:left="180" w:right="180"/>
      </w:pPr>
      <w:r>
        <w:rPr>
          <w:rFonts w:ascii="Calibri" w:cs="Calibri" w:eastAsia="Calibri" w:hAnsi="Calibri"/>
          <w:b w:val="false"/>
          <w:bCs w:val="false"/>
          <w:color w:val="1E293B"/>
          <w:sz w:val="19"/>
          <w:szCs w:val="19"/>
        </w:rPr>
        <w:t xml:space="preserve">All Cohesity snapshots for ZSD Oracle databases are protected under DataLock Compliance Mode (WORM). No user — including Cohesity administrators — can modify or delete these snapshots before the retention period expires. This directly mitigates the primary ransomware threat of destroying backup copies.</w:t>
      </w:r>
    </w:p>
    <w:p>
      <w:r>
        <w:br w:type="page"/>
      </w:r>
    </w:p>
    <w:p>
      <w:pPr>
        <w:pStyle w:val="Heading1"/>
        <w:pBdr>
          <w:bottom w:val="single" w:color="1D4ED8" w:sz="6" w:space="1"/>
        </w:pBdr>
        <w:spacing w:before="220" w:after="80"/>
      </w:pPr>
      <w:r>
        <w:rPr>
          <w:rFonts w:ascii="Calibri" w:cs="Calibri" w:eastAsia="Calibri" w:hAnsi="Calibri"/>
          <w:b/>
          <w:bCs/>
          <w:color w:val="1B2A4A"/>
          <w:sz w:val="26"/>
          <w:szCs w:val="26"/>
        </w:rPr>
        <w:t xml:space="preserve">5. Recovery Test Evidence &amp; Production RTO Extrapolation</w:t>
      </w:r>
    </w:p>
    <w:p>
      <w:pPr>
        <w:pStyle w:val="Heading2"/>
        <w:spacing w:before="160" w:after="60"/>
      </w:pPr>
      <w:r>
        <w:rPr>
          <w:rFonts w:ascii="Calibri" w:cs="Calibri" w:eastAsia="Calibri" w:hAnsi="Calibri"/>
          <w:b/>
          <w:bCs/>
          <w:color w:val="1D4ED8"/>
          <w:sz w:val="22"/>
          <w:szCs w:val="22"/>
        </w:rPr>
        <w:t xml:space="preserve">5.1 Pre-Production Recovery Test — Summary</w:t>
      </w:r>
    </w:p>
    <w:p>
      <w:pPr>
        <w:spacing w:before="50" w:after="50"/>
      </w:pPr>
      <w:r>
        <w:rPr>
          <w:rFonts w:ascii="Calibri" w:cs="Calibri" w:eastAsia="Calibri" w:hAnsi="Calibri"/>
          <w:b w:val="false"/>
          <w:bCs w:val="false"/>
          <w:color w:val="1E293B"/>
          <w:sz w:val="20"/>
          <w:szCs w:val="20"/>
        </w:rPr>
        <w:t xml:space="preserve">A controlled Oracle database recovery test was performed in the pre-production environment using Cohesity DataProtect, simulating a ransomware scenario where all primary database files were rendered unreadable. The test validated the end-to-end restore procedure from an immutable Cohesity snapshot.</w:t>
      </w:r>
    </w:p>
    <w:p>
      <w:pPr>
        <w:spacing w:before="70" w:after="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112"/>
        <w:gridCol w:w="3556"/>
        <w:gridCol w:w="3556"/>
      </w:tblGrid>
      <w:tr>
        <w:tc>
          <w:tcPr>
            <w:tcW w:type="dxa" w:w="3112"/>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Test Parameter</w:t>
            </w:r>
          </w:p>
        </w:tc>
        <w:tc>
          <w:tcPr>
            <w:tcW w:type="dxa" w:w="3556"/>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Pre-Production Environment</w:t>
            </w:r>
          </w:p>
        </w:tc>
        <w:tc>
          <w:tcPr>
            <w:tcW w:type="dxa" w:w="3556"/>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Production Environment (Reference)</w:t>
            </w:r>
          </w:p>
        </w:tc>
      </w:tr>
      <w:tr>
        <w:tc>
          <w:tcPr>
            <w:tcW w:type="dxa" w:w="3112"/>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Oracle Version</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19c</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19c</w:t>
            </w:r>
          </w:p>
        </w:tc>
      </w:tr>
      <w:tr>
        <w:tc>
          <w:tcPr>
            <w:tcW w:type="dxa" w:w="3112"/>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Database Size</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30 GB</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200 TB (6,800× larger)</w:t>
            </w:r>
          </w:p>
        </w:tc>
      </w:tr>
      <w:tr>
        <w:tc>
          <w:tcPr>
            <w:tcW w:type="dxa" w:w="3112"/>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Server CPU</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8 cores</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48 cores (6× more)</w:t>
            </w:r>
          </w:p>
        </w:tc>
      </w:tr>
      <w:tr>
        <w:tc>
          <w:tcPr>
            <w:tcW w:type="dxa" w:w="3112"/>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RMAN Channels Used</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8 parallel channels</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Up to 32 channels (production server capacity)</w:t>
            </w:r>
          </w:p>
        </w:tc>
      </w:tr>
      <w:tr>
        <w:tc>
          <w:tcPr>
            <w:tcW w:type="dxa" w:w="3112"/>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Cohesity Backup Network</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Shared (bandwidth unconfirmed)</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Dedicated (bandwidth to be confirmed — see note)</w:t>
            </w:r>
          </w:p>
        </w:tc>
      </w:tr>
      <w:tr>
        <w:tc>
          <w:tcPr>
            <w:tcW w:type="dxa" w:w="3112"/>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Restore Source</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Cohesity immutable snapshot (hourly log backup)</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Cohesity immutable snapshot (hourly log backup)</w:t>
            </w:r>
          </w:p>
        </w:tc>
      </w:tr>
      <w:tr>
        <w:tc>
          <w:tcPr>
            <w:tcW w:type="dxa" w:w="3112"/>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Test Date</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[INSERT DATE]</w:t>
            </w:r>
          </w:p>
        </w:tc>
        <w:tc>
          <w:tcPr>
            <w:tcW w:type="dxa" w:w="3556"/>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w:t>
            </w:r>
          </w:p>
        </w:tc>
      </w:tr>
      <w:tr>
        <w:tc>
          <w:tcPr>
            <w:tcW w:type="dxa" w:w="3112"/>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Simulated Incident</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Ransomware encryption of all DB data files</w:t>
            </w:r>
          </w:p>
        </w:tc>
        <w:tc>
          <w:tcPr>
            <w:tcW w:type="dxa" w:w="3556"/>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w:t>
            </w:r>
          </w:p>
        </w:tc>
      </w:tr>
    </w:tbl>
    <w:p>
      <w:pPr>
        <w:spacing w:before="100" w:after="0"/>
      </w:pPr>
      <w:r>
        <w:t xml:space="preserve"/>
      </w:r>
    </w:p>
    <w:p>
      <w:pPr>
        <w:pStyle w:val="Heading2"/>
        <w:spacing w:before="160" w:after="60"/>
      </w:pPr>
      <w:r>
        <w:rPr>
          <w:rFonts w:ascii="Calibri" w:cs="Calibri" w:eastAsia="Calibri" w:hAnsi="Calibri"/>
          <w:b/>
          <w:bCs/>
          <w:color w:val="1D4ED8"/>
          <w:sz w:val="22"/>
          <w:szCs w:val="22"/>
        </w:rPr>
        <w:t xml:space="preserve">5.2 Pre-Production Recovery Time Actual (RTA)</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4224"/>
        <w:gridCol w:w="2000"/>
        <w:gridCol w:w="4000"/>
      </w:tblGrid>
      <w:tr>
        <w:tc>
          <w:tcPr>
            <w:tcW w:type="dxa" w:w="422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Recovery Phase</w:t>
            </w:r>
          </w:p>
        </w:tc>
        <w:tc>
          <w:tcPr>
            <w:tcW w:type="dxa" w:w="20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Time Taken</w:t>
            </w:r>
          </w:p>
        </w:tc>
        <w:tc>
          <w:tcPr>
            <w:tcW w:type="dxa" w:w="40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Evidence / Outcome</w:t>
            </w:r>
          </w:p>
        </w:tc>
      </w:tr>
      <w:tr>
        <w:tc>
          <w:tcPr>
            <w:tcW w:type="dxa" w:w="42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Pre-restore: snapshot identification, threat scan, host readiness</w:t>
            </w:r>
          </w:p>
        </w:tc>
        <w:tc>
          <w:tcPr>
            <w:tcW w:type="dxa" w:w="20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~5 min</w:t>
            </w:r>
          </w:p>
        </w:tc>
        <w:tc>
          <w:tcPr>
            <w:tcW w:type="dxa" w:w="40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left"/>
            </w:pPr>
            <w:r>
              <w:rPr>
                <w:rFonts w:ascii="Calibri" w:cs="Calibri" w:eastAsia="Calibri" w:hAnsi="Calibri"/>
                <w:b w:val="false"/>
                <w:bCs w:val="false"/>
                <w:color w:val="166534"/>
                <w:sz w:val="19"/>
                <w:szCs w:val="19"/>
              </w:rPr>
              <w:t xml:space="preserve">PASS — Clean restore point confirmed; no malware signatures detected</w:t>
            </w:r>
          </w:p>
        </w:tc>
      </w:tr>
      <w:tr>
        <w:tc>
          <w:tcPr>
            <w:tcW w:type="dxa" w:w="42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Cohesity RMAN restore of 30 GB database (8 parallel channels)</w:t>
            </w:r>
          </w:p>
        </w:tc>
        <w:tc>
          <w:tcPr>
            <w:tcW w:type="dxa" w:w="20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~10 min</w:t>
            </w:r>
          </w:p>
        </w:tc>
        <w:tc>
          <w:tcPr>
            <w:tcW w:type="dxa" w:w="40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PASS — Restore completed successfully; data integrity verified</w:t>
            </w:r>
          </w:p>
        </w:tc>
      </w:tr>
      <w:tr>
        <w:tc>
          <w:tcPr>
            <w:tcW w:type="dxa" w:w="42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Post-restore: Oracle startup, RMAN validate, DB open</w:t>
            </w:r>
          </w:p>
        </w:tc>
        <w:tc>
          <w:tcPr>
            <w:tcW w:type="dxa" w:w="20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~5 min</w:t>
            </w:r>
          </w:p>
        </w:tc>
        <w:tc>
          <w:tcPr>
            <w:tcW w:type="dxa" w:w="40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left"/>
            </w:pPr>
            <w:r>
              <w:rPr>
                <w:rFonts w:ascii="Calibri" w:cs="Calibri" w:eastAsia="Calibri" w:hAnsi="Calibri"/>
                <w:b w:val="false"/>
                <w:bCs w:val="false"/>
                <w:color w:val="166534"/>
                <w:sz w:val="19"/>
                <w:szCs w:val="19"/>
              </w:rPr>
              <w:t xml:space="preserve">PASS — 0 corrupt blocks; database opened READ WRITE; alert log clean</w:t>
            </w:r>
          </w:p>
        </w:tc>
      </w:tr>
      <w:tr>
        <w:tc>
          <w:tcPr>
            <w:tcW w:type="dxa" w:w="42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Application smoke test &amp; recovery sign-off</w:t>
            </w:r>
          </w:p>
        </w:tc>
        <w:tc>
          <w:tcPr>
            <w:tcW w:type="dxa" w:w="20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~5 min</w:t>
            </w:r>
          </w:p>
        </w:tc>
        <w:tc>
          <w:tcPr>
            <w:tcW w:type="dxa" w:w="40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PASS — Key transactions validated; recovery declared complete</w:t>
            </w:r>
          </w:p>
        </w:tc>
      </w:tr>
      <w:tr>
        <w:tc>
          <w:tcPr>
            <w:tcW w:type="dxa" w:w="4224"/>
            <w:tcBorders>
              <w:top w:val="single" w:color="CBD5E1" w:sz="1"/>
              <w:left w:val="single" w:color="CBD5E1" w:sz="1"/>
              <w:bottom w:val="single" w:color="CBD5E1" w:sz="1"/>
              <w:right w:val="single" w:color="CBD5E1" w:sz="1"/>
            </w:tcBorders>
            <w:shd w:fill="1B2A4A" w:val="clear"/>
            <w:tcMar>
              <w:top w:type="dxa" w:w="85"/>
              <w:left w:type="dxa" w:w="120"/>
              <w:bottom w:type="dxa" w:w="85"/>
              <w:right w:type="dxa" w:w="120"/>
            </w:tcMar>
            <w:vAlign w:val="center"/>
          </w:tcPr>
          <w:p>
            <w:pPr>
              <w:jc w:val="left"/>
            </w:pPr>
            <w:r>
              <w:rPr>
                <w:rFonts w:ascii="Calibri" w:cs="Calibri" w:eastAsia="Calibri" w:hAnsi="Calibri"/>
                <w:b/>
                <w:bCs/>
                <w:color w:val="FFFFFF"/>
                <w:sz w:val="19"/>
                <w:szCs w:val="19"/>
              </w:rPr>
              <w:t xml:space="preserve">TOTAL — Pre-Production Recovery Time Actual (RTA)</w:t>
            </w:r>
          </w:p>
        </w:tc>
        <w:tc>
          <w:tcPr>
            <w:tcW w:type="dxa" w:w="2000"/>
            <w:tcBorders>
              <w:top w:val="single" w:color="CBD5E1" w:sz="1"/>
              <w:left w:val="single" w:color="CBD5E1" w:sz="1"/>
              <w:bottom w:val="single" w:color="CBD5E1" w:sz="1"/>
              <w:right w:val="single" w:color="CBD5E1" w:sz="1"/>
            </w:tcBorders>
            <w:shd w:fill="1D4ED8" w:val="clear"/>
            <w:tcMar>
              <w:top w:type="dxa" w:w="85"/>
              <w:left w:type="dxa" w:w="120"/>
              <w:bottom w:type="dxa" w:w="85"/>
              <w:right w:type="dxa" w:w="120"/>
            </w:tcMar>
            <w:vAlign w:val="center"/>
          </w:tcPr>
          <w:p>
            <w:pPr>
              <w:jc w:val="center"/>
            </w:pPr>
            <w:r>
              <w:rPr>
                <w:rFonts w:ascii="Calibri" w:cs="Calibri" w:eastAsia="Calibri" w:hAnsi="Calibri"/>
                <w:b/>
                <w:bCs/>
                <w:color w:val="FFFFFF"/>
                <w:sz w:val="19"/>
                <w:szCs w:val="19"/>
              </w:rPr>
              <w:t xml:space="preserve">~25 min</w:t>
            </w:r>
          </w:p>
        </w:tc>
        <w:tc>
          <w:tcPr>
            <w:tcW w:type="dxa" w:w="40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left"/>
            </w:pPr>
            <w:r>
              <w:rPr>
                <w:rFonts w:ascii="Calibri" w:cs="Calibri" w:eastAsia="Calibri" w:hAnsi="Calibri"/>
                <w:b/>
                <w:bCs/>
                <w:color w:val="166534"/>
                <w:sz w:val="19"/>
                <w:szCs w:val="19"/>
              </w:rPr>
              <w:t xml:space="preserve">WITHIN TARGET  |  30 GB recovered in under 30 minutes</w:t>
            </w:r>
          </w:p>
        </w:tc>
      </w:tr>
    </w:tbl>
    <w:p>
      <w:pPr>
        <w:spacing w:before="100" w:after="0"/>
      </w:pPr>
      <w:r>
        <w:t xml:space="preserve"/>
      </w:r>
    </w:p>
    <w:p>
      <w:pPr>
        <w:pStyle w:val="Heading2"/>
        <w:spacing w:before="160" w:after="60"/>
      </w:pPr>
      <w:r>
        <w:rPr>
          <w:rFonts w:ascii="Calibri" w:cs="Calibri" w:eastAsia="Calibri" w:hAnsi="Calibri"/>
          <w:b/>
          <w:bCs/>
          <w:color w:val="1D4ED8"/>
          <w:sz w:val="22"/>
          <w:szCs w:val="22"/>
        </w:rPr>
        <w:t xml:space="preserve">5.3 Production RTO Extrapolation — ZSD-PROD (200 TB)</w:t>
      </w:r>
    </w:p>
    <w:p>
      <w:pPr>
        <w:spacing w:before="50" w:after="50"/>
      </w:pPr>
      <w:r>
        <w:rPr>
          <w:rFonts w:ascii="Calibri" w:cs="Calibri" w:eastAsia="Calibri" w:hAnsi="Calibri"/>
          <w:b w:val="false"/>
          <w:bCs w:val="false"/>
          <w:color w:val="1E293B"/>
          <w:sz w:val="20"/>
          <w:szCs w:val="20"/>
        </w:rPr>
        <w:t xml:space="preserve">Extrapolating from the pre-production test to production requires careful consideration of the scale difference (30 GB vs 200 TB = 6,800×) offset by significantly higher production resources. The following scaling assumptions are explicitly stated for audit transparency.</w:t>
      </w:r>
    </w:p>
    <w:p>
      <w:pPr>
        <w:spacing w:before="70" w:after="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80"/>
        <w:gridCol w:w="2844"/>
        <w:gridCol w:w="2000"/>
        <w:gridCol w:w="5000"/>
      </w:tblGrid>
      <w:tr>
        <w:tc>
          <w:tcPr>
            <w:tcW w:type="dxa" w:w="38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
            </w:r>
          </w:p>
        </w:tc>
        <w:tc>
          <w:tcPr>
            <w:tcW w:type="dxa" w:w="284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Scaling Assumption</w:t>
            </w:r>
          </w:p>
        </w:tc>
        <w:tc>
          <w:tcPr>
            <w:tcW w:type="dxa" w:w="20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Confidence</w:t>
            </w:r>
          </w:p>
        </w:tc>
        <w:tc>
          <w:tcPr>
            <w:tcW w:type="dxa" w:w="50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Rationale</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A1</w:t>
            </w:r>
          </w:p>
        </w:tc>
        <w:tc>
          <w:tcPr>
            <w:tcW w:type="dxa" w:w="28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Data volume ratio: 200 TB / 30 GB = 6,800×</w:t>
            </w:r>
          </w:p>
        </w:tc>
        <w:tc>
          <w:tcPr>
            <w:tcW w:type="dxa" w:w="20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HIGH</w:t>
            </w:r>
          </w:p>
        </w:tc>
        <w:tc>
          <w:tcPr>
            <w:tcW w:type="dxa" w:w="50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Confirmed from production storage inventory. This is the dominant scaling factor.</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A2</w:t>
            </w:r>
          </w:p>
        </w:tc>
        <w:tc>
          <w:tcPr>
            <w:tcW w:type="dxa" w:w="28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RMAN channels can be scaled from 8 (pre-prod) to 32 in production (6× CPU ratio of 48 vs 8 cores)</w:t>
            </w:r>
          </w:p>
        </w:tc>
        <w:tc>
          <w:tcPr>
            <w:tcW w:type="dxa" w:w="20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MEDIUM</w:t>
            </w:r>
          </w:p>
        </w:tc>
        <w:tc>
          <w:tcPr>
            <w:tcW w:type="dxa" w:w="50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Production server has 48 cores. Cohesity agent parallelism supports up to 32 concurrent RMAN channels subject to Cohesity cluster capacity and network bandwidth confirmation.</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A3</w:t>
            </w:r>
          </w:p>
        </w:tc>
        <w:tc>
          <w:tcPr>
            <w:tcW w:type="dxa" w:w="28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Net throughput improvement from 4× more channels: restore time scales at approximately 6,800 ÷ 4 = ~1,700× longer than pre-prod</w:t>
            </w:r>
          </w:p>
        </w:tc>
        <w:tc>
          <w:tcPr>
            <w:tcW w:type="dxa" w:w="20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MEDIUM</w:t>
            </w:r>
          </w:p>
        </w:tc>
        <w:tc>
          <w:tcPr>
            <w:tcW w:type="dxa" w:w="50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Parallelism provides ~4× improvement offset against 6,800× data increase. Actual throughput depends on Cohesity cluster I/O capacity and production network bandwidth — both require confirmation.</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A4</w:t>
            </w:r>
          </w:p>
        </w:tc>
        <w:tc>
          <w:tcPr>
            <w:tcW w:type="dxa" w:w="28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Pre/post steps (threat scan, host prep, validation) do not scale with data volume but increase ~2× for production complexity</w:t>
            </w:r>
          </w:p>
        </w:tc>
        <w:tc>
          <w:tcPr>
            <w:tcW w:type="dxa" w:w="20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MEDIUM</w:t>
            </w:r>
          </w:p>
        </w:tc>
        <w:tc>
          <w:tcPr>
            <w:tcW w:type="dxa" w:w="50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Larger snapshot catalog; more complex application validation; additional stakeholder coordination at incident scale.</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A5</w:t>
            </w:r>
          </w:p>
        </w:tc>
        <w:tc>
          <w:tcPr>
            <w:tcW w:type="dxa" w:w="28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A full 200TB restore is not required to meet a 12-hour RTO. A tiered strategy restoring critical tablespaces and schemas first can bring ZSD-PROD to operational status within RTO, with remaining data restored in background.</w:t>
            </w:r>
          </w:p>
        </w:tc>
        <w:tc>
          <w:tcPr>
            <w:tcW w:type="dxa" w:w="20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HIGH</w:t>
            </w:r>
          </w:p>
        </w:tc>
        <w:tc>
          <w:tcPr>
            <w:tcW w:type="dxa" w:w="50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Standard Oracle RMAN capability. Critical application schemas typically represent 5–15% of total DB size, restorable in a fraction of total time.</w:t>
            </w:r>
          </w:p>
        </w:tc>
      </w:tr>
    </w:tbl>
    <w:p>
      <w:r>
        <w:br w:type="page"/>
      </w:r>
    </w:p>
    <w:p>
      <w:pPr>
        <w:pStyle w:val="Heading2"/>
        <w:spacing w:before="160" w:after="60"/>
      </w:pPr>
      <w:r>
        <w:rPr>
          <w:rFonts w:ascii="Calibri" w:cs="Calibri" w:eastAsia="Calibri" w:hAnsi="Calibri"/>
          <w:b/>
          <w:bCs/>
          <w:color w:val="1D4ED8"/>
          <w:sz w:val="22"/>
          <w:szCs w:val="22"/>
        </w:rPr>
        <w:t xml:space="preserve">5.4 Production Recovery Time Estimates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24"/>
        <w:gridCol w:w="1500"/>
        <w:gridCol w:w="1600"/>
        <w:gridCol w:w="1500"/>
        <w:gridCol w:w="2800"/>
      </w:tblGrid>
      <w:tr>
        <w:tc>
          <w:tcPr>
            <w:tcW w:type="dxa" w:w="282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Recovery Scope</w:t>
            </w:r>
          </w:p>
        </w:tc>
        <w:tc>
          <w:tcPr>
            <w:tcW w:type="dxa" w:w="15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Estimated Duration</w:t>
            </w:r>
          </w:p>
        </w:tc>
        <w:tc>
          <w:tcPr>
            <w:tcW w:type="dxa" w:w="16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Meets 12-hr RTO?</w:t>
            </w:r>
          </w:p>
        </w:tc>
        <w:tc>
          <w:tcPr>
            <w:tcW w:type="dxa" w:w="15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RMAN Channels</w:t>
            </w:r>
          </w:p>
        </w:tc>
        <w:tc>
          <w:tcPr>
            <w:tcW w:type="dxa" w:w="28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Notes</w:t>
            </w:r>
          </w:p>
        </w:tc>
      </w:tr>
      <w:tr>
        <w:tc>
          <w:tcPr>
            <w:tcW w:type="dxa" w:w="28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Tier 1 — Critical schemas / tablespaces only (~5–15% of 200TB = 10–30TB)</w:t>
            </w:r>
          </w:p>
        </w:tc>
        <w:tc>
          <w:tcPr>
            <w:tcW w:type="dxa" w:w="15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4–8 hours</w:t>
            </w:r>
          </w:p>
        </w:tc>
        <w:tc>
          <w:tcPr>
            <w:tcW w:type="dxa" w:w="16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YES</w:t>
            </w:r>
          </w:p>
        </w:tc>
        <w:tc>
          <w:tcPr>
            <w:tcW w:type="dxa" w:w="15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32 (max parallel)</w:t>
            </w:r>
          </w:p>
        </w:tc>
        <w:tc>
          <w:tcPr>
            <w:tcW w:type="dxa" w:w="2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Restores core transactional data sufficient for business operations to resume. Recommended primary RTO strategy.</w:t>
            </w:r>
          </w:p>
        </w:tc>
      </w:tr>
      <w:tr>
        <w:tc>
          <w:tcPr>
            <w:tcW w:type="dxa" w:w="28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Tier 2 — Extended operational data (~50% of 200TB = 100TB)</w:t>
            </w:r>
          </w:p>
        </w:tc>
        <w:tc>
          <w:tcPr>
            <w:tcW w:type="dxa" w:w="15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18–30 hours</w:t>
            </w:r>
          </w:p>
        </w:tc>
        <w:tc>
          <w:tcPr>
            <w:tcW w:type="dxa" w:w="16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NO (partial)</w:t>
            </w:r>
          </w:p>
        </w:tc>
        <w:tc>
          <w:tcPr>
            <w:tcW w:type="dxa" w:w="15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32 (max parallel)</w:t>
            </w:r>
          </w:p>
        </w:tc>
        <w:tc>
          <w:tcPr>
            <w:tcW w:type="dxa" w:w="2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Restores reporting, historical transactional data. Operational but not fully complete. Completed post-RTO in background.</w:t>
            </w:r>
          </w:p>
        </w:tc>
      </w:tr>
      <w:tr>
        <w:tc>
          <w:tcPr>
            <w:tcW w:type="dxa" w:w="28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Tier 3 — Full 200TB restore (complete database)</w:t>
            </w:r>
          </w:p>
        </w:tc>
        <w:tc>
          <w:tcPr>
            <w:tcW w:type="dxa" w:w="15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36–72 hours</w:t>
            </w:r>
          </w:p>
        </w:tc>
        <w:tc>
          <w:tcPr>
            <w:tcW w:type="dxa" w:w="1600"/>
            <w:tcBorders>
              <w:top w:val="single" w:color="CBD5E1" w:sz="1"/>
              <w:left w:val="single" w:color="CBD5E1" w:sz="1"/>
              <w:bottom w:val="single" w:color="CBD5E1" w:sz="1"/>
              <w:right w:val="single" w:color="CBD5E1" w:sz="1"/>
            </w:tcBorders>
            <w:shd w:fill="FEE2E2" w:val="clear"/>
            <w:tcMar>
              <w:top w:type="dxa" w:w="85"/>
              <w:left w:type="dxa" w:w="120"/>
              <w:bottom w:type="dxa" w:w="85"/>
              <w:right w:type="dxa" w:w="120"/>
            </w:tcMar>
            <w:vAlign w:val="center"/>
          </w:tcPr>
          <w:p>
            <w:pPr>
              <w:jc w:val="center"/>
            </w:pPr>
            <w:r>
              <w:rPr>
                <w:rFonts w:ascii="Calibri" w:cs="Calibri" w:eastAsia="Calibri" w:hAnsi="Calibri"/>
                <w:b/>
                <w:bCs/>
                <w:color w:val="991B1B"/>
                <w:sz w:val="19"/>
                <w:szCs w:val="19"/>
              </w:rPr>
              <w:t xml:space="preserve">NO (full restore)</w:t>
            </w:r>
          </w:p>
        </w:tc>
        <w:tc>
          <w:tcPr>
            <w:tcW w:type="dxa" w:w="15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32 (max parallel)</w:t>
            </w:r>
          </w:p>
        </w:tc>
        <w:tc>
          <w:tcPr>
            <w:tcW w:type="dxa" w:w="28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Full restore time at scale. Necessary for complete data integrity but not required to meet the 12-hour RTO. Bandwidth confirmation required to validate this estimate.</w:t>
            </w:r>
          </w:p>
        </w:tc>
      </w:tr>
    </w:tbl>
    <w:p>
      <w:pPr>
        <w:spacing w:before="70" w:after="0"/>
      </w:pPr>
      <w:r>
        <w:t xml:space="preserve"/>
      </w:r>
    </w:p>
    <w:p>
      <w:pPr>
        <w:pBdr>
          <w:left w:val="single" w:color="92400E" w:sz="14" w:space="5"/>
        </w:pBdr>
        <w:shd w:fill="FEF3C7" w:val="clear"/>
        <w:spacing w:before="80" w:after="80"/>
        <w:ind w:left="180" w:right="180"/>
      </w:pPr>
      <w:r>
        <w:rPr>
          <w:rFonts w:ascii="Calibri" w:cs="Calibri" w:eastAsia="Calibri" w:hAnsi="Calibri"/>
          <w:b w:val="false"/>
          <w:bCs w:val="false"/>
          <w:color w:val="1E293B"/>
          <w:sz w:val="19"/>
          <w:szCs w:val="19"/>
        </w:rPr>
        <w:t xml:space="preserve">Audit Transparency Note: A full restore of 200TB cannot meet a 12-hour RTO under any realistic infrastructure configuration. The 12-hour RTO is achievable exclusively through a tiered recovery strategy (Tier 1). This is explicitly disclosed. The DBA team recommends the audit team and business formally acknowledge the tiered approach as the accepted recovery strategy for ZSD-PROD.</w:t>
      </w:r>
    </w:p>
    <w:p>
      <w:pPr>
        <w:spacing w:before="100" w:after="0"/>
      </w:pPr>
      <w:r>
        <w:t xml:space="preserve"/>
      </w:r>
    </w:p>
    <w:p>
      <w:pPr>
        <w:pStyle w:val="Heading1"/>
        <w:pBdr>
          <w:bottom w:val="single" w:color="1D4ED8" w:sz="6" w:space="1"/>
        </w:pBdr>
        <w:spacing w:before="220" w:after="80"/>
      </w:pPr>
      <w:r>
        <w:rPr>
          <w:rFonts w:ascii="Calibri" w:cs="Calibri" w:eastAsia="Calibri" w:hAnsi="Calibri"/>
          <w:b/>
          <w:bCs/>
          <w:color w:val="1B2A4A"/>
          <w:sz w:val="26"/>
          <w:szCs w:val="26"/>
        </w:rPr>
        <w:t xml:space="preserve">6. Regulatory Alignment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800"/>
        <w:gridCol w:w="2424"/>
        <w:gridCol w:w="6000"/>
      </w:tblGrid>
      <w:tr>
        <w:tc>
          <w:tcPr>
            <w:tcW w:type="dxa" w:w="18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Framework</w:t>
            </w:r>
          </w:p>
        </w:tc>
        <w:tc>
          <w:tcPr>
            <w:tcW w:type="dxa" w:w="242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Relevant Requirement</w:t>
            </w:r>
          </w:p>
        </w:tc>
        <w:tc>
          <w:tcPr>
            <w:tcW w:type="dxa" w:w="60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How This Document Addresses It</w:t>
            </w:r>
          </w:p>
        </w:tc>
      </w:tr>
      <w:tr>
        <w:tc>
          <w:tcPr>
            <w:tcW w:type="dxa" w:w="18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PCI-DSS v4.0</w:t>
            </w:r>
          </w:p>
        </w:tc>
        <w:tc>
          <w:tcPr>
            <w:tcW w:type="dxa" w:w="24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Req 12.3.4, 12.10.1 — Define and test incident response; maintain availability of cardholder data systems.</w:t>
            </w:r>
          </w:p>
        </w:tc>
        <w:tc>
          <w:tcPr>
            <w:tcW w:type="dxa" w:w="60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ZSD-PROD RTO of 12 hours (Tier 1) defined. Cohesity DataLock ensures cardholder data backup integrity cannot be compromised by ransomware. Recovery test evidence provided.</w:t>
            </w:r>
          </w:p>
        </w:tc>
      </w:tr>
      <w:tr>
        <w:tc>
          <w:tcPr>
            <w:tcW w:type="dxa" w:w="18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SOX (ITGC)</w:t>
            </w:r>
          </w:p>
        </w:tc>
        <w:tc>
          <w:tcPr>
            <w:tcW w:type="dxa" w:w="24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IT General Controls — Availability and recoverability of systems supporting financial reporting; evidence of tested recovery procedures.</w:t>
            </w:r>
          </w:p>
        </w:tc>
        <w:tc>
          <w:tcPr>
            <w:tcW w:type="dxa" w:w="60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RTO established for ZSD-PROD (financial transactions) and ZSD-RPT (financial reporting). Pre-production recovery test with documented RTA constitutes tested evidence for SOX ITGC review.</w:t>
            </w:r>
          </w:p>
        </w:tc>
      </w:tr>
      <w:tr>
        <w:tc>
          <w:tcPr>
            <w:tcW w:type="dxa" w:w="180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left"/>
            </w:pPr>
            <w:r>
              <w:rPr>
                <w:rFonts w:ascii="Calibri" w:cs="Calibri" w:eastAsia="Calibri" w:hAnsi="Calibri"/>
                <w:b/>
                <w:bCs/>
                <w:color w:val="1B2A4A"/>
                <w:sz w:val="19"/>
                <w:szCs w:val="19"/>
              </w:rPr>
              <w:t xml:space="preserve">ISO 22301</w:t>
            </w:r>
          </w:p>
        </w:tc>
        <w:tc>
          <w:tcPr>
            <w:tcW w:type="dxa" w:w="24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Clause 8.4, 8.5 — Business continuity plans must define RTOs based on BIA; recovery capabilities must be tested and reviewed.</w:t>
            </w:r>
          </w:p>
        </w:tc>
        <w:tc>
          <w:tcPr>
            <w:tcW w:type="dxa" w:w="60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BIA conducted (Section 2); RTOs formally defined (Section 3); recovery test performed and documented (Section 5). Review cadence defined in Section 7.</w:t>
            </w:r>
          </w:p>
        </w:tc>
      </w:tr>
    </w:tbl>
    <w:p>
      <w:pPr>
        <w:spacing w:before="100" w:after="0"/>
      </w:pPr>
      <w:r>
        <w:t xml:space="preserve"/>
      </w:r>
    </w:p>
    <w:p>
      <w:pPr>
        <w:pStyle w:val="Heading1"/>
        <w:pBdr>
          <w:bottom w:val="single" w:color="1D4ED8" w:sz="6" w:space="1"/>
        </w:pBdr>
        <w:spacing w:before="220" w:after="80"/>
      </w:pPr>
      <w:r>
        <w:rPr>
          <w:rFonts w:ascii="Calibri" w:cs="Calibri" w:eastAsia="Calibri" w:hAnsi="Calibri"/>
          <w:b/>
          <w:bCs/>
          <w:color w:val="1B2A4A"/>
          <w:sz w:val="26"/>
          <w:szCs w:val="26"/>
        </w:rPr>
        <w:t xml:space="preserve">7. Open Items, Next Steps &amp; Review Cadence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80"/>
        <w:gridCol w:w="3744"/>
        <w:gridCol w:w="2200"/>
        <w:gridCol w:w="1700"/>
        <w:gridCol w:w="2200"/>
      </w:tblGrid>
      <w:tr>
        <w:tc>
          <w:tcPr>
            <w:tcW w:type="dxa" w:w="38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
            </w:r>
          </w:p>
        </w:tc>
        <w:tc>
          <w:tcPr>
            <w:tcW w:type="dxa" w:w="374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Action</w:t>
            </w:r>
          </w:p>
        </w:tc>
        <w:tc>
          <w:tcPr>
            <w:tcW w:type="dxa" w:w="22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Owner</w:t>
            </w:r>
          </w:p>
        </w:tc>
        <w:tc>
          <w:tcPr>
            <w:tcW w:type="dxa" w:w="17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Target Date</w:t>
            </w:r>
          </w:p>
        </w:tc>
        <w:tc>
          <w:tcPr>
            <w:tcW w:type="dxa" w:w="22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Priority</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1</w:t>
            </w:r>
          </w:p>
        </w:tc>
        <w:tc>
          <w:tcPr>
            <w:tcW w:type="dxa" w:w="37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Confirm production Cohesity network bandwidth (required to validate production restore time estimates)</w:t>
            </w:r>
          </w:p>
        </w:tc>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DBA + Network Team</w:t>
            </w:r>
          </w:p>
        </w:tc>
        <w:tc>
          <w:tcPr>
            <w:tcW w:type="dxa" w:w="17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[D+14]</w:t>
            </w:r>
          </w:p>
        </w:tc>
        <w:tc>
          <w:tcPr>
            <w:tcW w:type="dxa" w:w="2200"/>
            <w:tcBorders>
              <w:top w:val="single" w:color="CBD5E1" w:sz="1"/>
              <w:left w:val="single" w:color="CBD5E1" w:sz="1"/>
              <w:bottom w:val="single" w:color="CBD5E1" w:sz="1"/>
              <w:right w:val="single" w:color="CBD5E1" w:sz="1"/>
            </w:tcBorders>
            <w:shd w:fill="FEE2E2" w:val="clear"/>
            <w:tcMar>
              <w:top w:type="dxa" w:w="85"/>
              <w:left w:type="dxa" w:w="120"/>
              <w:bottom w:type="dxa" w:w="85"/>
              <w:right w:type="dxa" w:w="120"/>
            </w:tcMar>
            <w:vAlign w:val="center"/>
          </w:tcPr>
          <w:p>
            <w:pPr>
              <w:jc w:val="center"/>
            </w:pPr>
            <w:r>
              <w:rPr>
                <w:rFonts w:ascii="Calibri" w:cs="Calibri" w:eastAsia="Calibri" w:hAnsi="Calibri"/>
                <w:b/>
                <w:bCs/>
                <w:color w:val="991B1B"/>
                <w:sz w:val="19"/>
                <w:szCs w:val="19"/>
              </w:rPr>
              <w:t xml:space="preserve">CRITICAL</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2</w:t>
            </w:r>
          </w:p>
        </w:tc>
        <w:tc>
          <w:tcPr>
            <w:tcW w:type="dxa" w:w="37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Obtain formal business owner sign-off on RTO/RPO values for each ZSD database (replace placeholders in Section 2)</w:t>
            </w:r>
          </w:p>
        </w:tc>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DBA Team + Business Units</w:t>
            </w:r>
          </w:p>
        </w:tc>
        <w:tc>
          <w:tcPr>
            <w:tcW w:type="dxa" w:w="17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[D+21]</w:t>
            </w:r>
          </w:p>
        </w:tc>
        <w:tc>
          <w:tcPr>
            <w:tcW w:type="dxa" w:w="2200"/>
            <w:tcBorders>
              <w:top w:val="single" w:color="CBD5E1" w:sz="1"/>
              <w:left w:val="single" w:color="CBD5E1" w:sz="1"/>
              <w:bottom w:val="single" w:color="CBD5E1" w:sz="1"/>
              <w:right w:val="single" w:color="CBD5E1" w:sz="1"/>
            </w:tcBorders>
            <w:shd w:fill="FEE2E2" w:val="clear"/>
            <w:tcMar>
              <w:top w:type="dxa" w:w="85"/>
              <w:left w:type="dxa" w:w="120"/>
              <w:bottom w:type="dxa" w:w="85"/>
              <w:right w:type="dxa" w:w="120"/>
            </w:tcMar>
            <w:vAlign w:val="center"/>
          </w:tcPr>
          <w:p>
            <w:pPr>
              <w:jc w:val="center"/>
            </w:pPr>
            <w:r>
              <w:rPr>
                <w:rFonts w:ascii="Calibri" w:cs="Calibri" w:eastAsia="Calibri" w:hAnsi="Calibri"/>
                <w:b/>
                <w:bCs/>
                <w:color w:val="991B1B"/>
                <w:sz w:val="19"/>
                <w:szCs w:val="19"/>
              </w:rPr>
              <w:t xml:space="preserve">CRITICAL</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3</w:t>
            </w:r>
          </w:p>
        </w:tc>
        <w:tc>
          <w:tcPr>
            <w:tcW w:type="dxa" w:w="37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Define and document the Tier 1 critical tablespace/schema list for ZSD-PROD tiered recovery strategy</w:t>
            </w:r>
          </w:p>
        </w:tc>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DBA Lead</w:t>
            </w:r>
          </w:p>
        </w:tc>
        <w:tc>
          <w:tcPr>
            <w:tcW w:type="dxa" w:w="17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[D+21]</w:t>
            </w:r>
          </w:p>
        </w:tc>
        <w:tc>
          <w:tcPr>
            <w:tcW w:type="dxa" w:w="22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HIGH</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4</w:t>
            </w:r>
          </w:p>
        </w:tc>
        <w:tc>
          <w:tcPr>
            <w:tcW w:type="dxa" w:w="37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Execute full-scale production Tier 1 tiered recovery drill to validate 12-hour RTO at actual scale</w:t>
            </w:r>
          </w:p>
        </w:tc>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DBA + Infra Team</w:t>
            </w:r>
          </w:p>
        </w:tc>
        <w:tc>
          <w:tcPr>
            <w:tcW w:type="dxa" w:w="17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[D+90]</w:t>
            </w:r>
          </w:p>
        </w:tc>
        <w:tc>
          <w:tcPr>
            <w:tcW w:type="dxa" w:w="22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HIGH</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5</w:t>
            </w:r>
          </w:p>
        </w:tc>
        <w:tc>
          <w:tcPr>
            <w:tcW w:type="dxa" w:w="374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Establish maximum RMAN channel configuration for production Cohesity agent and document in runbook</w:t>
            </w:r>
          </w:p>
        </w:tc>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DBA Lead</w:t>
            </w:r>
          </w:p>
        </w:tc>
        <w:tc>
          <w:tcPr>
            <w:tcW w:type="dxa" w:w="17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[D+30]</w:t>
            </w:r>
          </w:p>
        </w:tc>
        <w:tc>
          <w:tcPr>
            <w:tcW w:type="dxa" w:w="22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HIGH</w:t>
            </w:r>
          </w:p>
        </w:tc>
      </w:tr>
      <w:tr>
        <w:tc>
          <w:tcPr>
            <w:tcW w:type="dxa" w:w="380"/>
            <w:tcBorders>
              <w:top w:val="single" w:color="CBD5E1" w:sz="1"/>
              <w:left w:val="single" w:color="CBD5E1" w:sz="1"/>
              <w:bottom w:val="single" w:color="CBD5E1" w:sz="1"/>
              <w:right w:val="single" w:color="CBD5E1" w:sz="1"/>
            </w:tcBorders>
            <w:shd w:fill="DBEAFE" w:val="clear"/>
            <w:tcMar>
              <w:top w:type="dxa" w:w="85"/>
              <w:left w:type="dxa" w:w="120"/>
              <w:bottom w:type="dxa" w:w="85"/>
              <w:right w:type="dxa" w:w="120"/>
            </w:tcMar>
            <w:vAlign w:val="center"/>
          </w:tcPr>
          <w:p>
            <w:pPr>
              <w:jc w:val="center"/>
            </w:pPr>
            <w:r>
              <w:rPr>
                <w:rFonts w:ascii="Calibri" w:cs="Calibri" w:eastAsia="Calibri" w:hAnsi="Calibri"/>
                <w:b/>
                <w:bCs/>
                <w:color w:val="1B2A4A"/>
                <w:sz w:val="19"/>
                <w:szCs w:val="19"/>
              </w:rPr>
              <w:t xml:space="preserve">6</w:t>
            </w:r>
          </w:p>
        </w:tc>
        <w:tc>
          <w:tcPr>
            <w:tcW w:type="dxa" w:w="374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Schedule annual RTO review and recovery test; update this document after each test or architecture change</w:t>
            </w:r>
          </w:p>
        </w:tc>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DBA Team</w:t>
            </w:r>
          </w:p>
        </w:tc>
        <w:tc>
          <w:tcPr>
            <w:tcW w:type="dxa" w:w="17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center"/>
            </w:pPr>
            <w:r>
              <w:rPr>
                <w:rFonts w:ascii="Calibri" w:cs="Calibri" w:eastAsia="Calibri" w:hAnsi="Calibri"/>
                <w:b w:val="false"/>
                <w:bCs w:val="false"/>
                <w:color w:val="1E293B"/>
                <w:sz w:val="19"/>
                <w:szCs w:val="19"/>
              </w:rPr>
              <w:t xml:space="preserve">Annually</w:t>
            </w:r>
          </w:p>
        </w:tc>
        <w:tc>
          <w:tcPr>
            <w:tcW w:type="dxa" w:w="2200"/>
            <w:tcBorders>
              <w:top w:val="single" w:color="CBD5E1" w:sz="1"/>
              <w:left w:val="single" w:color="CBD5E1" w:sz="1"/>
              <w:bottom w:val="single" w:color="CBD5E1" w:sz="1"/>
              <w:right w:val="single" w:color="CBD5E1" w:sz="1"/>
            </w:tcBorders>
            <w:shd w:fill="DCFCE7" w:val="clear"/>
            <w:tcMar>
              <w:top w:type="dxa" w:w="85"/>
              <w:left w:type="dxa" w:w="120"/>
              <w:bottom w:type="dxa" w:w="85"/>
              <w:right w:type="dxa" w:w="120"/>
            </w:tcMar>
            <w:vAlign w:val="center"/>
          </w:tcPr>
          <w:p>
            <w:pPr>
              <w:jc w:val="center"/>
            </w:pPr>
            <w:r>
              <w:rPr>
                <w:rFonts w:ascii="Calibri" w:cs="Calibri" w:eastAsia="Calibri" w:hAnsi="Calibri"/>
                <w:b/>
                <w:bCs/>
                <w:color w:val="166534"/>
                <w:sz w:val="19"/>
                <w:szCs w:val="19"/>
              </w:rPr>
              <w:t xml:space="preserve">STANDARD</w:t>
            </w:r>
          </w:p>
        </w:tc>
      </w:tr>
    </w:tbl>
    <w:p>
      <w:pPr>
        <w:spacing w:before="100" w:after="0"/>
      </w:pPr>
      <w:r>
        <w:t xml:space="preserve"/>
      </w:r>
    </w:p>
    <w:p>
      <w:pPr>
        <w:pStyle w:val="Heading1"/>
        <w:pBdr>
          <w:bottom w:val="single" w:color="1D4ED8" w:sz="6" w:space="1"/>
        </w:pBdr>
        <w:spacing w:before="220" w:after="80"/>
      </w:pPr>
      <w:r>
        <w:rPr>
          <w:rFonts w:ascii="Calibri" w:cs="Calibri" w:eastAsia="Calibri" w:hAnsi="Calibri"/>
          <w:b/>
          <w:bCs/>
          <w:color w:val="1B2A4A"/>
          <w:sz w:val="26"/>
          <w:szCs w:val="26"/>
        </w:rPr>
        <w:t xml:space="preserve">8. Document Approval &amp; Audit Sign-Off</w:t>
      </w:r>
    </w:p>
    <w:p>
      <w:pPr>
        <w:spacing w:before="50" w:after="50"/>
      </w:pPr>
      <w:r>
        <w:rPr>
          <w:rFonts w:ascii="Calibri" w:cs="Calibri" w:eastAsia="Calibri" w:hAnsi="Calibri"/>
          <w:b w:val="false"/>
          <w:bCs w:val="false"/>
          <w:color w:val="1E293B"/>
          <w:sz w:val="20"/>
          <w:szCs w:val="20"/>
        </w:rPr>
        <w:t xml:space="preserve">This document requires sign-off from the business and IT stakeholders below before submission as formal audit evidence for MRA-002 remediation closure.</w:t>
      </w:r>
    </w:p>
    <w:p>
      <w:pPr>
        <w:spacing w:before="70" w:after="0"/>
      </w:pPr>
      <w: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824"/>
        <w:gridCol w:w="2200"/>
        <w:gridCol w:w="2200"/>
        <w:gridCol w:w="1500"/>
        <w:gridCol w:w="1500"/>
      </w:tblGrid>
      <w:tr>
        <w:tc>
          <w:tcPr>
            <w:tcW w:type="dxa" w:w="2824"/>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Role</w:t>
            </w:r>
          </w:p>
        </w:tc>
        <w:tc>
          <w:tcPr>
            <w:tcW w:type="dxa" w:w="22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Name</w:t>
            </w:r>
          </w:p>
        </w:tc>
        <w:tc>
          <w:tcPr>
            <w:tcW w:type="dxa" w:w="22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Signature / Approval</w:t>
            </w:r>
          </w:p>
        </w:tc>
        <w:tc>
          <w:tcPr>
            <w:tcW w:type="dxa" w:w="15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left"/>
            </w:pPr>
            <w:r>
              <w:rPr>
                <w:rFonts w:ascii="Calibri" w:cs="Calibri" w:eastAsia="Calibri" w:hAnsi="Calibri"/>
                <w:b/>
                <w:bCs/>
                <w:color w:val="FFFFFF"/>
                <w:sz w:val="19"/>
                <w:szCs w:val="19"/>
              </w:rPr>
              <w:t xml:space="preserve">Date</w:t>
            </w:r>
          </w:p>
        </w:tc>
        <w:tc>
          <w:tcPr>
            <w:tcW w:type="dxa" w:w="1500"/>
            <w:tcBorders>
              <w:top w:val="single" w:color="1B2A4A" w:sz="1"/>
              <w:left w:val="single" w:color="1B2A4A" w:sz="1"/>
              <w:bottom w:val="single" w:color="1B2A4A" w:sz="1"/>
              <w:right w:val="single" w:color="1B2A4A" w:sz="1"/>
            </w:tcBorders>
            <w:shd w:fill="1B2A4A" w:val="clear"/>
            <w:tcMar>
              <w:top w:type="dxa" w:w="90"/>
              <w:left w:type="dxa" w:w="120"/>
              <w:bottom w:type="dxa" w:w="90"/>
              <w:right w:type="dxa" w:w="120"/>
            </w:tcMar>
            <w:vAlign w:val="center"/>
          </w:tcPr>
          <w:p>
            <w:pPr>
              <w:jc w:val="center"/>
            </w:pPr>
            <w:r>
              <w:rPr>
                <w:rFonts w:ascii="Calibri" w:cs="Calibri" w:eastAsia="Calibri" w:hAnsi="Calibri"/>
                <w:b/>
                <w:bCs/>
                <w:color w:val="FFFFFF"/>
                <w:sz w:val="19"/>
                <w:szCs w:val="19"/>
              </w:rPr>
              <w:t xml:space="preserve">Status</w:t>
            </w:r>
          </w:p>
        </w:tc>
      </w:tr>
      <w:tr>
        <w:tc>
          <w:tcPr>
            <w:tcW w:type="dxa" w:w="28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DBA Lead / Document Owner</w:t>
            </w:r>
          </w:p>
        </w:tc>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[Name]</w:t>
            </w:r>
          </w:p>
        </w:tc>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
            </w:r>
          </w:p>
        </w:tc>
        <w:tc>
          <w:tcPr>
            <w:tcW w:type="dxa" w:w="15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[Date]</w:t>
            </w:r>
          </w:p>
        </w:tc>
        <w:tc>
          <w:tcPr>
            <w:tcW w:type="dxa" w:w="15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PENDING</w:t>
            </w:r>
          </w:p>
        </w:tc>
      </w:tr>
      <w:tr>
        <w:tc>
          <w:tcPr>
            <w:tcW w:type="dxa" w:w="28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IT Security / Risk Manager</w:t>
            </w:r>
          </w:p>
        </w:tc>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[Name]</w:t>
            </w:r>
          </w:p>
        </w:tc>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
            </w:r>
          </w:p>
        </w:tc>
        <w:tc>
          <w:tcPr>
            <w:tcW w:type="dxa" w:w="15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[Date]</w:t>
            </w:r>
          </w:p>
        </w:tc>
        <w:tc>
          <w:tcPr>
            <w:tcW w:type="dxa" w:w="15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PENDING</w:t>
            </w:r>
          </w:p>
        </w:tc>
      </w:tr>
      <w:tr>
        <w:tc>
          <w:tcPr>
            <w:tcW w:type="dxa" w:w="28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ZSD-PROD Business Owner</w:t>
            </w:r>
          </w:p>
        </w:tc>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[Name — TBC]</w:t>
            </w:r>
          </w:p>
        </w:tc>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
            </w:r>
          </w:p>
        </w:tc>
        <w:tc>
          <w:tcPr>
            <w:tcW w:type="dxa" w:w="15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[Date]</w:t>
            </w:r>
          </w:p>
        </w:tc>
        <w:tc>
          <w:tcPr>
            <w:tcW w:type="dxa" w:w="15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PENDING</w:t>
            </w:r>
          </w:p>
        </w:tc>
      </w:tr>
      <w:tr>
        <w:tc>
          <w:tcPr>
            <w:tcW w:type="dxa" w:w="28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ZSD-RPT Business Owner</w:t>
            </w:r>
          </w:p>
        </w:tc>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[Name — TBC]</w:t>
            </w:r>
          </w:p>
        </w:tc>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
            </w:r>
          </w:p>
        </w:tc>
        <w:tc>
          <w:tcPr>
            <w:tcW w:type="dxa" w:w="15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[Date]</w:t>
            </w:r>
          </w:p>
        </w:tc>
        <w:tc>
          <w:tcPr>
            <w:tcW w:type="dxa" w:w="15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PENDING</w:t>
            </w:r>
          </w:p>
        </w:tc>
      </w:tr>
      <w:tr>
        <w:tc>
          <w:tcPr>
            <w:tcW w:type="dxa" w:w="2824"/>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ZSD-ARCH Business Owner</w:t>
            </w:r>
          </w:p>
        </w:tc>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[Name — TBC]</w:t>
            </w:r>
          </w:p>
        </w:tc>
        <w:tc>
          <w:tcPr>
            <w:tcW w:type="dxa" w:w="22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
            </w:r>
          </w:p>
        </w:tc>
        <w:tc>
          <w:tcPr>
            <w:tcW w:type="dxa" w:w="1500"/>
            <w:tcBorders>
              <w:top w:val="single" w:color="CBD5E1" w:sz="1"/>
              <w:left w:val="single" w:color="CBD5E1" w:sz="1"/>
              <w:bottom w:val="single" w:color="CBD5E1" w:sz="1"/>
              <w:right w:val="single" w:color="CBD5E1" w:sz="1"/>
            </w:tcBorders>
            <w:shd w:fill="F8FAFC"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[Date]</w:t>
            </w:r>
          </w:p>
        </w:tc>
        <w:tc>
          <w:tcPr>
            <w:tcW w:type="dxa" w:w="15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PENDING</w:t>
            </w:r>
          </w:p>
        </w:tc>
      </w:tr>
      <w:tr>
        <w:tc>
          <w:tcPr>
            <w:tcW w:type="dxa" w:w="2824"/>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bCs/>
                <w:color w:val="1E293B"/>
                <w:sz w:val="19"/>
                <w:szCs w:val="19"/>
              </w:rPr>
              <w:t xml:space="preserve">Internal Audit Representative</w:t>
            </w:r>
          </w:p>
        </w:tc>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[Name]</w:t>
            </w:r>
          </w:p>
        </w:tc>
        <w:tc>
          <w:tcPr>
            <w:tcW w:type="dxa" w:w="22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
            </w:r>
          </w:p>
        </w:tc>
        <w:tc>
          <w:tcPr>
            <w:tcW w:type="dxa" w:w="1500"/>
            <w:tcBorders>
              <w:top w:val="single" w:color="CBD5E1" w:sz="1"/>
              <w:left w:val="single" w:color="CBD5E1" w:sz="1"/>
              <w:bottom w:val="single" w:color="CBD5E1" w:sz="1"/>
              <w:right w:val="single" w:color="CBD5E1" w:sz="1"/>
            </w:tcBorders>
            <w:shd w:fill="FFFFFF" w:val="clear"/>
            <w:tcMar>
              <w:top w:type="dxa" w:w="85"/>
              <w:left w:type="dxa" w:w="120"/>
              <w:bottom w:type="dxa" w:w="85"/>
              <w:right w:type="dxa" w:w="120"/>
            </w:tcMar>
            <w:vAlign w:val="center"/>
          </w:tcPr>
          <w:p>
            <w:pPr>
              <w:jc w:val="left"/>
            </w:pPr>
            <w:r>
              <w:rPr>
                <w:rFonts w:ascii="Calibri" w:cs="Calibri" w:eastAsia="Calibri" w:hAnsi="Calibri"/>
                <w:b w:val="false"/>
                <w:bCs w:val="false"/>
                <w:color w:val="1E293B"/>
                <w:sz w:val="19"/>
                <w:szCs w:val="19"/>
              </w:rPr>
              <w:t xml:space="preserve">[Date]</w:t>
            </w:r>
          </w:p>
        </w:tc>
        <w:tc>
          <w:tcPr>
            <w:tcW w:type="dxa" w:w="1500"/>
            <w:tcBorders>
              <w:top w:val="single" w:color="CBD5E1" w:sz="1"/>
              <w:left w:val="single" w:color="CBD5E1" w:sz="1"/>
              <w:bottom w:val="single" w:color="CBD5E1" w:sz="1"/>
              <w:right w:val="single" w:color="CBD5E1" w:sz="1"/>
            </w:tcBorders>
            <w:shd w:fill="FEF3C7" w:val="clear"/>
            <w:tcMar>
              <w:top w:type="dxa" w:w="85"/>
              <w:left w:type="dxa" w:w="120"/>
              <w:bottom w:type="dxa" w:w="85"/>
              <w:right w:type="dxa" w:w="120"/>
            </w:tcMar>
            <w:vAlign w:val="center"/>
          </w:tcPr>
          <w:p>
            <w:pPr>
              <w:jc w:val="center"/>
            </w:pPr>
            <w:r>
              <w:rPr>
                <w:rFonts w:ascii="Calibri" w:cs="Calibri" w:eastAsia="Calibri" w:hAnsi="Calibri"/>
                <w:b/>
                <w:bCs/>
                <w:color w:val="92400E"/>
                <w:sz w:val="19"/>
                <w:szCs w:val="19"/>
              </w:rPr>
              <w:t xml:space="preserve">PENDING</w:t>
            </w:r>
          </w:p>
        </w:tc>
      </w:tr>
    </w:tbl>
    <w:sectPr>
      <w:headerReference w:type="default" r:id="rId6"/>
      <w:footerReference w:type="default" r:id="rId7"/>
      <w:pgSz w:w="12240" w:h="15840"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before="60"/>
      <w:jc w:val="center"/>
    </w:pPr>
    <w:r>
      <w:rPr>
        <w:rFonts w:ascii="Calibri" w:cs="Calibri" w:eastAsia="Calibri" w:hAnsi="Calibri"/>
        <w:color w:val="475569"/>
        <w:sz w:val="17"/>
        <w:szCs w:val="17"/>
      </w:rPr>
      <w:t xml:space="preserve">IT Infrastructure &amp; DBA Team  |  Internal Use Only  |  Page </w:t>
    </w:r>
    <w:r>
      <w:rPr>
        <w:rFonts w:ascii="Calibri" w:cs="Calibri" w:eastAsia="Calibri" w:hAnsi="Calibri"/>
        <w:color w:val="475569"/>
        <w:sz w:val="17"/>
        <w:szCs w:val="17"/>
      </w:rPr>
      <w:fldChar w:fldCharType="begin"/>
      <w:instrText xml:space="preserve">PAGE</w:instrText>
      <w:fldChar w:fldCharType="separate"/>
      <w:fldChar w:fldCharType="end"/>
    </w:r>
    <w:r>
      <w:rPr>
        <w:rFonts w:ascii="Calibri" w:cs="Calibri" w:eastAsia="Calibri" w:hAnsi="Calibri"/>
        <w:color w:val="475569"/>
        <w:sz w:val="17"/>
        <w:szCs w:val="17"/>
      </w:rPr>
      <w:t xml:space="preserve"> of </w:t>
    </w:r>
    <w:r>
      <w:rPr>
        <w:rFonts w:ascii="Calibri" w:cs="Calibri" w:eastAsia="Calibri" w:hAnsi="Calibri"/>
        <w:color w:val="475569"/>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1"/>
      </w:pBdr>
      <w:spacing w:before="0" w:after="80"/>
    </w:pPr>
    <w:r>
      <w:rPr>
        <w:rFonts w:ascii="Calibri" w:cs="Calibri" w:eastAsia="Calibri" w:hAnsi="Calibri"/>
        <w:color w:val="475569"/>
        <w:sz w:val="17"/>
        <w:szCs w:val="17"/>
      </w:rPr>
      <w:t xml:space="preserve">ZSD Oracle Databases  |  RTO Establishment &amp; Recovery Evidence  |  Audit Remediation: MRA-002</w:t>
    </w:r>
    <w:r>
      <w:rPr>
        <w:rFonts w:ascii="Calibri" w:cs="Calibri" w:eastAsia="Calibri" w:hAnsi="Calibri"/>
        <w:b/>
        <w:bCs/>
        <w:color w:val="991B1B"/>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20" w:after="80"/>
      <w:outlineLvl w:val="0"/>
    </w:pPr>
    <w:rPr>
      <w:rFonts w:ascii="Calibri" w:cs="Calibri" w:eastAsia="Calibri" w:hAnsi="Calibri"/>
      <w:b/>
      <w:bCs/>
      <w:sz w:val="26"/>
      <w:szCs w:val="26"/>
    </w:rPr>
  </w:style>
  <w:style w:type="paragraph" w:styleId="Heading2">
    <w:name w:val="Heading 2"/>
    <w:basedOn w:val="Normal"/>
    <w:next w:val="Normal"/>
    <w:qFormat/>
    <w:pPr>
      <w:spacing w:before="160" w:after="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2026-03-25T08:01:00.791Z</dcterms:created>
  <dcterms:modified xsi:type="dcterms:W3CDTF">2026-03-25T08:01:00.792Z</dcterms:modified>
</cp:coreProperties>
</file>

<file path=docProps/custom.xml><?xml version="1.0" encoding="utf-8"?>
<Properties xmlns="http://schemas.openxmlformats.org/officeDocument/2006/custom-properties" xmlns:vt="http://schemas.openxmlformats.org/officeDocument/2006/docPropsVTypes"/>
</file>