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Type System in TypeScript:</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TypeScript is a superset of JavaScript that adds static typing, helping developers catch errors early. Two core features are type annotations- where developers explicitly define variable, parameter, and return types, and type inference, where TypeScript automatically deduces types based on values or usage.</w:t>
      </w:r>
    </w:p>
    <w:p w:rsidR="00000000" w:rsidDel="00000000" w:rsidP="00000000" w:rsidRDefault="00000000" w:rsidRPr="00000000" w14:paraId="00000004">
      <w:pPr>
        <w:rPr>
          <w:rFonts w:ascii="Nunito" w:cs="Nunito" w:eastAsia="Nunito" w:hAnsi="Nunito"/>
          <w:color w:val="273239"/>
          <w:sz w:val="27"/>
          <w:szCs w:val="27"/>
          <w:highlight w:val="white"/>
        </w:rPr>
      </w:pPr>
      <w:r w:rsidDel="00000000" w:rsidR="00000000" w:rsidRPr="00000000">
        <w:rPr>
          <w:rtl w:val="0"/>
        </w:rPr>
      </w:r>
    </w:p>
    <w:p w:rsidR="00000000" w:rsidDel="00000000" w:rsidP="00000000" w:rsidRDefault="00000000" w:rsidRPr="00000000" w14:paraId="00000005">
      <w:pPr>
        <w:rPr>
          <w:rFonts w:ascii="Nunito" w:cs="Nunito" w:eastAsia="Nunito" w:hAnsi="Nunito"/>
          <w:color w:val="273239"/>
          <w:sz w:val="37"/>
          <w:szCs w:val="37"/>
          <w:highlight w:val="white"/>
        </w:rPr>
      </w:pPr>
      <w:r w:rsidDel="00000000" w:rsidR="00000000" w:rsidRPr="00000000">
        <w:rPr>
          <w:rFonts w:ascii="Nunito" w:cs="Nunito" w:eastAsia="Nunito" w:hAnsi="Nunito"/>
          <w:color w:val="273239"/>
          <w:sz w:val="37"/>
          <w:szCs w:val="37"/>
          <w:highlight w:val="white"/>
          <w:rtl w:val="0"/>
        </w:rPr>
        <w:t xml:space="preserve">Type Annotations: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1)TypeScript are a way to explicitly declare the type of a variable, parameter, or function return value</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2)This approach ensures that functions accept only the expected types of arguments and return values, thereby reducing the likelihood of type-related errors.</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Nunito" w:cs="Nunito" w:eastAsia="Nunito" w:hAnsi="Nunito"/>
          <w:color w:val="273239"/>
          <w:sz w:val="27"/>
          <w:szCs w:val="27"/>
          <w:highlight w:val="white"/>
        </w:rPr>
      </w:pPr>
      <w:r w:rsidDel="00000000" w:rsidR="00000000" w:rsidRPr="00000000">
        <w:rPr>
          <w:rFonts w:ascii="Nunito" w:cs="Nunito" w:eastAsia="Nunito" w:hAnsi="Nunito"/>
          <w:color w:val="273239"/>
          <w:sz w:val="27"/>
          <w:szCs w:val="27"/>
          <w:highlight w:val="white"/>
          <w:rtl w:val="0"/>
        </w:rPr>
        <w:t xml:space="preserve">3)Enables better autocomplete, refactoring, and navigation in IDEs.</w:t>
      </w:r>
    </w:p>
    <w:p w:rsidR="00000000" w:rsidDel="00000000" w:rsidP="00000000" w:rsidRDefault="00000000" w:rsidRPr="00000000" w14:paraId="00000009">
      <w:pPr>
        <w:rPr>
          <w:rFonts w:ascii="Nunito" w:cs="Nunito" w:eastAsia="Nunito" w:hAnsi="Nunito"/>
          <w:color w:val="273239"/>
          <w:sz w:val="23"/>
          <w:szCs w:val="23"/>
          <w:highlight w:val="white"/>
        </w:rPr>
      </w:pP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Nunito" w:cs="Nunito" w:eastAsia="Nunito" w:hAnsi="Nunito"/>
          <w:color w:val="273239"/>
          <w:sz w:val="36"/>
          <w:szCs w:val="36"/>
          <w:highlight w:val="white"/>
        </w:rPr>
      </w:pPr>
      <w:bookmarkStart w:colFirst="0" w:colLast="0" w:name="_rk9o17n32ads" w:id="0"/>
      <w:bookmarkEnd w:id="0"/>
      <w:r w:rsidDel="00000000" w:rsidR="00000000" w:rsidRPr="00000000">
        <w:rPr>
          <w:rFonts w:ascii="Nunito" w:cs="Nunito" w:eastAsia="Nunito" w:hAnsi="Nunito"/>
          <w:color w:val="273239"/>
          <w:sz w:val="36"/>
          <w:szCs w:val="36"/>
          <w:highlight w:val="white"/>
          <w:rtl w:val="0"/>
        </w:rPr>
        <w:t xml:space="preserve"> Type Inference: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1) Type Inference is the ability of the compiler to automatically determine the type of a variable based on its value, without explicit annotations.</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2)Type inference is the process by which the type of a variable is automatically deduced by the TypeScript compiler, based on the value it is assigned.</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3)This means you don’t always need to explicitly annotate types, as TypeScript can often figure out the type on its own.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Nunito" w:cs="Nunito" w:eastAsia="Nunito" w:hAnsi="Nunito"/>
          <w:color w:val="273239"/>
          <w:sz w:val="37"/>
          <w:szCs w:val="37"/>
          <w:highlight w:val="white"/>
        </w:rPr>
      </w:pPr>
      <w:r w:rsidDel="00000000" w:rsidR="00000000" w:rsidRPr="00000000">
        <w:rPr>
          <w:rFonts w:ascii="Nunito" w:cs="Nunito" w:eastAsia="Nunito" w:hAnsi="Nunito"/>
          <w:color w:val="273239"/>
          <w:sz w:val="37"/>
          <w:szCs w:val="37"/>
          <w:highlight w:val="white"/>
          <w:rtl w:val="0"/>
        </w:rPr>
        <w:t xml:space="preserve">Type Compatibility:</w:t>
      </w:r>
    </w:p>
    <w:p w:rsidR="00000000" w:rsidDel="00000000" w:rsidP="00000000" w:rsidRDefault="00000000" w:rsidRPr="00000000" w14:paraId="00000010">
      <w:pPr>
        <w:rPr>
          <w:rFonts w:ascii="Nunito" w:cs="Nunito" w:eastAsia="Nunito" w:hAnsi="Nunito"/>
          <w:color w:val="273239"/>
          <w:sz w:val="23"/>
          <w:szCs w:val="23"/>
          <w:highlight w:val="white"/>
        </w:rPr>
      </w:pPr>
      <w:r w:rsidDel="00000000" w:rsidR="00000000" w:rsidRPr="00000000">
        <w:rPr>
          <w:rFonts w:ascii="Nunito" w:cs="Nunito" w:eastAsia="Nunito" w:hAnsi="Nunito"/>
          <w:color w:val="273239"/>
          <w:sz w:val="27"/>
          <w:szCs w:val="27"/>
          <w:highlight w:val="white"/>
          <w:rtl w:val="0"/>
        </w:rPr>
        <w:t xml:space="preserve"> </w:t>
      </w:r>
      <w:r w:rsidDel="00000000" w:rsidR="00000000" w:rsidRPr="00000000">
        <w:rPr>
          <w:rtl w:val="0"/>
        </w:rPr>
      </w:r>
    </w:p>
    <w:p w:rsidR="00000000" w:rsidDel="00000000" w:rsidP="00000000" w:rsidRDefault="00000000" w:rsidRPr="00000000" w14:paraId="00000011">
      <w:pPr>
        <w:rPr>
          <w:rFonts w:ascii="Verdana" w:cs="Verdana" w:eastAsia="Verdana" w:hAnsi="Verdana"/>
          <w:color w:val="273239"/>
          <w:sz w:val="24"/>
          <w:szCs w:val="24"/>
          <w:highlight w:val="white"/>
        </w:rPr>
      </w:pPr>
      <w:r w:rsidDel="00000000" w:rsidR="00000000" w:rsidRPr="00000000">
        <w:rPr>
          <w:rFonts w:ascii="Verdana" w:cs="Verdana" w:eastAsia="Verdana" w:hAnsi="Verdana"/>
          <w:color w:val="273239"/>
          <w:sz w:val="24"/>
          <w:szCs w:val="24"/>
          <w:highlight w:val="white"/>
          <w:rtl w:val="0"/>
        </w:rPr>
        <w:t xml:space="preserve">In TypeScript, type compatibility refers to the ability to assign one type of variable, object, etc. to another type. In other words, it refers to the ability to check whether two types are compatible with each other based on the structure of them.</w:t>
      </w:r>
    </w:p>
    <w:p w:rsidR="00000000" w:rsidDel="00000000" w:rsidP="00000000" w:rsidRDefault="00000000" w:rsidRPr="00000000" w14:paraId="00000012">
      <w:pPr>
        <w:rPr>
          <w:rFonts w:ascii="Verdana" w:cs="Verdana" w:eastAsia="Verdana" w:hAnsi="Verdana"/>
          <w:color w:val="273239"/>
          <w:sz w:val="24"/>
          <w:szCs w:val="24"/>
          <w:highlight w:val="white"/>
        </w:rPr>
      </w:pPr>
      <w:r w:rsidDel="00000000" w:rsidR="00000000" w:rsidRPr="00000000">
        <w:rPr>
          <w:rtl w:val="0"/>
        </w:rPr>
      </w:r>
    </w:p>
    <w:p w:rsidR="00000000" w:rsidDel="00000000" w:rsidP="00000000" w:rsidRDefault="00000000" w:rsidRPr="00000000" w14:paraId="00000013">
      <w:pPr>
        <w:rPr>
          <w:rFonts w:ascii="Verdana" w:cs="Verdana" w:eastAsia="Verdana" w:hAnsi="Verdana"/>
          <w:color w:val="273239"/>
          <w:sz w:val="24"/>
          <w:szCs w:val="24"/>
          <w:highlight w:val="white"/>
        </w:rPr>
      </w:pPr>
      <w:r w:rsidDel="00000000" w:rsidR="00000000" w:rsidRPr="00000000">
        <w:rPr>
          <w:rFonts w:ascii="Verdana" w:cs="Verdana" w:eastAsia="Verdana" w:hAnsi="Verdana"/>
          <w:color w:val="273239"/>
          <w:sz w:val="24"/>
          <w:szCs w:val="24"/>
          <w:highlight w:val="white"/>
          <w:rtl w:val="0"/>
        </w:rPr>
        <w:t xml:space="preserve">example:</w:t>
      </w:r>
    </w:p>
    <w:p w:rsidR="00000000" w:rsidDel="00000000" w:rsidP="00000000" w:rsidRDefault="00000000" w:rsidRPr="00000000" w14:paraId="00000014">
      <w:pPr>
        <w:rPr>
          <w:rFonts w:ascii="Verdana" w:cs="Verdana" w:eastAsia="Verdana" w:hAnsi="Verdana"/>
          <w:color w:val="273239"/>
          <w:highlight w:val="white"/>
        </w:rPr>
      </w:pPr>
      <w:r w:rsidDel="00000000" w:rsidR="00000000" w:rsidRPr="00000000">
        <w:rPr>
          <w:rFonts w:ascii="Verdana" w:cs="Verdana" w:eastAsia="Verdana" w:hAnsi="Verdana"/>
          <w:color w:val="273239"/>
          <w:highlight w:val="white"/>
          <w:rtl w:val="0"/>
        </w:rPr>
        <w:t xml:space="preserve">Let s:string=”HELLO”;</w:t>
      </w:r>
    </w:p>
    <w:p w:rsidR="00000000" w:rsidDel="00000000" w:rsidP="00000000" w:rsidRDefault="00000000" w:rsidRPr="00000000" w14:paraId="00000015">
      <w:pPr>
        <w:rPr>
          <w:rFonts w:ascii="Verdana" w:cs="Verdana" w:eastAsia="Verdana" w:hAnsi="Verdana"/>
          <w:color w:val="273239"/>
          <w:highlight w:val="white"/>
        </w:rPr>
      </w:pPr>
      <w:r w:rsidDel="00000000" w:rsidR="00000000" w:rsidRPr="00000000">
        <w:rPr>
          <w:rFonts w:ascii="Verdana" w:cs="Verdana" w:eastAsia="Verdana" w:hAnsi="Verdana"/>
          <w:color w:val="273239"/>
          <w:highlight w:val="white"/>
          <w:rtl w:val="0"/>
        </w:rPr>
        <w:t xml:space="preserve">Let b:boolean=true;</w:t>
      </w:r>
    </w:p>
    <w:p w:rsidR="00000000" w:rsidDel="00000000" w:rsidP="00000000" w:rsidRDefault="00000000" w:rsidRPr="00000000" w14:paraId="00000016">
      <w:pPr>
        <w:rPr>
          <w:rFonts w:ascii="Verdana" w:cs="Verdana" w:eastAsia="Verdana" w:hAnsi="Verdana"/>
          <w:color w:val="273239"/>
          <w:highlight w:val="white"/>
        </w:rPr>
      </w:pPr>
      <w:r w:rsidDel="00000000" w:rsidR="00000000" w:rsidRPr="00000000">
        <w:rPr>
          <w:rFonts w:ascii="Verdana" w:cs="Verdana" w:eastAsia="Verdana" w:hAnsi="Verdana"/>
          <w:color w:val="273239"/>
          <w:highlight w:val="white"/>
          <w:rtl w:val="0"/>
        </w:rPr>
        <w:t xml:space="preserve">s=b; //boolean is not compatible to the type string;</w:t>
      </w:r>
    </w:p>
    <w:p w:rsidR="00000000" w:rsidDel="00000000" w:rsidP="00000000" w:rsidRDefault="00000000" w:rsidRPr="00000000" w14:paraId="00000017">
      <w:pPr>
        <w:rPr>
          <w:rFonts w:ascii="Verdana" w:cs="Verdana" w:eastAsia="Verdana" w:hAnsi="Verdana"/>
          <w:color w:val="273239"/>
          <w:highlight w:val="white"/>
        </w:rPr>
      </w:pPr>
      <w:r w:rsidDel="00000000" w:rsidR="00000000" w:rsidRPr="00000000">
        <w:rPr>
          <w:rFonts w:ascii="Verdana" w:cs="Verdana" w:eastAsia="Verdana" w:hAnsi="Verdana"/>
          <w:color w:val="273239"/>
          <w:highlight w:val="white"/>
          <w:rtl w:val="0"/>
        </w:rPr>
        <w:t xml:space="preserve">b=s;</w:t>
      </w:r>
    </w:p>
    <w:p w:rsidR="00000000" w:rsidDel="00000000" w:rsidP="00000000" w:rsidRDefault="00000000" w:rsidRPr="00000000" w14:paraId="00000018">
      <w:pPr>
        <w:rPr>
          <w:rFonts w:ascii="Verdana" w:cs="Verdana" w:eastAsia="Verdana" w:hAnsi="Verdana"/>
          <w:color w:val="273239"/>
          <w:highlight w:val="white"/>
        </w:rPr>
      </w:pPr>
      <w:r w:rsidDel="00000000" w:rsidR="00000000" w:rsidRPr="00000000">
        <w:rPr>
          <w:rtl w:val="0"/>
        </w:rPr>
      </w:r>
    </w:p>
    <w:p w:rsidR="00000000" w:rsidDel="00000000" w:rsidP="00000000" w:rsidRDefault="00000000" w:rsidRPr="00000000" w14:paraId="00000019">
      <w:pPr>
        <w:rPr>
          <w:rFonts w:ascii="Verdana" w:cs="Verdana" w:eastAsia="Verdana" w:hAnsi="Verdana"/>
          <w:color w:val="273239"/>
          <w:highlight w:val="white"/>
        </w:rPr>
      </w:pPr>
      <w:r w:rsidDel="00000000" w:rsidR="00000000" w:rsidRPr="00000000">
        <w:rPr>
          <w:rFonts w:ascii="Verdana" w:cs="Verdana" w:eastAsia="Verdana" w:hAnsi="Verdana"/>
          <w:color w:val="273239"/>
          <w:highlight w:val="white"/>
          <w:rtl w:val="0"/>
        </w:rPr>
        <w:t xml:space="preserve">Example2:</w:t>
      </w:r>
    </w:p>
    <w:p w:rsidR="00000000" w:rsidDel="00000000" w:rsidP="00000000" w:rsidRDefault="00000000" w:rsidRPr="00000000" w14:paraId="0000001A">
      <w:pPr>
        <w:rPr>
          <w:rFonts w:ascii="Verdana" w:cs="Verdana" w:eastAsia="Verdana" w:hAnsi="Verdana"/>
          <w:color w:val="273239"/>
          <w:highlight w:val="white"/>
        </w:rPr>
      </w:pPr>
      <w:r w:rsidDel="00000000" w:rsidR="00000000" w:rsidRPr="00000000">
        <w:rPr>
          <w:rFonts w:ascii="Verdana" w:cs="Verdana" w:eastAsia="Verdana" w:hAnsi="Verdana"/>
          <w:color w:val="273239"/>
          <w:highlight w:val="white"/>
          <w:rtl w:val="0"/>
        </w:rPr>
        <w:t xml:space="preserve"> Let s:any=123</w:t>
      </w:r>
    </w:p>
    <w:p w:rsidR="00000000" w:rsidDel="00000000" w:rsidP="00000000" w:rsidRDefault="00000000" w:rsidRPr="00000000" w14:paraId="0000001B">
      <w:pPr>
        <w:rPr>
          <w:rFonts w:ascii="Verdana" w:cs="Verdana" w:eastAsia="Verdana" w:hAnsi="Verdana"/>
          <w:color w:val="273239"/>
          <w:highlight w:val="white"/>
        </w:rPr>
      </w:pPr>
      <w:r w:rsidDel="00000000" w:rsidR="00000000" w:rsidRPr="00000000">
        <w:rPr>
          <w:rFonts w:ascii="Verdana" w:cs="Verdana" w:eastAsia="Verdana" w:hAnsi="Verdana"/>
          <w:color w:val="273239"/>
          <w:highlight w:val="white"/>
          <w:rtl w:val="0"/>
        </w:rPr>
        <w:t xml:space="preserve">s=”mahesh” //valid</w:t>
      </w:r>
    </w:p>
    <w:p w:rsidR="00000000" w:rsidDel="00000000" w:rsidP="00000000" w:rsidRDefault="00000000" w:rsidRPr="00000000" w14:paraId="0000001C">
      <w:pPr>
        <w:rPr>
          <w:rFonts w:ascii="Verdana" w:cs="Verdana" w:eastAsia="Verdana" w:hAnsi="Verdana"/>
          <w:color w:val="273239"/>
          <w:highlight w:val="white"/>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color w:val="273239"/>
          <w:sz w:val="24"/>
          <w:szCs w:val="24"/>
          <w:highlight w:val="white"/>
        </w:rPr>
      </w:pPr>
      <w:r w:rsidDel="00000000" w:rsidR="00000000" w:rsidRPr="00000000">
        <w:rPr>
          <w:rFonts w:ascii="Verdana" w:cs="Verdana" w:eastAsia="Verdana" w:hAnsi="Verdana"/>
          <w:color w:val="273239"/>
          <w:sz w:val="24"/>
          <w:szCs w:val="24"/>
          <w:highlight w:val="white"/>
          <w:rtl w:val="0"/>
        </w:rPr>
        <w:t xml:space="preserve">Developers can use the interface and generics to use the types effectively in TypeScript. Here are the best tips for using the interface and generics for type compatibility.</w:t>
      </w:r>
    </w:p>
    <w:p w:rsidR="00000000" w:rsidDel="00000000" w:rsidP="00000000" w:rsidRDefault="00000000" w:rsidRPr="00000000" w14:paraId="0000001E">
      <w:pPr>
        <w:pStyle w:val="Heading3"/>
        <w:keepNext w:val="0"/>
        <w:keepLines w:val="0"/>
        <w:spacing w:before="280" w:line="360" w:lineRule="auto"/>
        <w:rPr>
          <w:rFonts w:ascii="Verdana" w:cs="Verdana" w:eastAsia="Verdana" w:hAnsi="Verdana"/>
          <w:color w:val="273239"/>
          <w:highlight w:val="white"/>
        </w:rPr>
      </w:pPr>
      <w:bookmarkStart w:colFirst="0" w:colLast="0" w:name="_rjpno9mbb03h" w:id="1"/>
      <w:bookmarkEnd w:id="1"/>
      <w:r w:rsidDel="00000000" w:rsidR="00000000" w:rsidRPr="00000000">
        <w:rPr>
          <w:rFonts w:ascii="Verdana" w:cs="Verdana" w:eastAsia="Verdana" w:hAnsi="Verdana"/>
          <w:color w:val="273239"/>
          <w:highlight w:val="white"/>
          <w:rtl w:val="0"/>
        </w:rPr>
        <w:t xml:space="preserve">Interfaces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color w:val="273239"/>
          <w:sz w:val="24"/>
          <w:szCs w:val="24"/>
          <w:highlight w:val="white"/>
        </w:rPr>
      </w:pPr>
      <w:r w:rsidDel="00000000" w:rsidR="00000000" w:rsidRPr="00000000">
        <w:rPr>
          <w:rFonts w:ascii="Verdana" w:cs="Verdana" w:eastAsia="Verdana" w:hAnsi="Verdana"/>
          <w:color w:val="273239"/>
          <w:sz w:val="24"/>
          <w:szCs w:val="24"/>
          <w:highlight w:val="white"/>
          <w:rtl w:val="0"/>
        </w:rPr>
        <w:t xml:space="preserve">Using an interface developer can define contracts or types to ensure that implementation adheres to these types. It is useful in ensuring  the type compatibility across different parts of your code.</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color w:val="273239"/>
          <w:sz w:val="24"/>
          <w:szCs w:val="24"/>
          <w:highlight w:val="white"/>
        </w:rPr>
      </w:pPr>
      <w:r w:rsidDel="00000000" w:rsidR="00000000" w:rsidRPr="00000000">
        <w:rPr>
          <w:rFonts w:ascii="Verdana" w:cs="Verdana" w:eastAsia="Verdana" w:hAnsi="Verdana"/>
          <w:color w:val="273239"/>
          <w:sz w:val="24"/>
          <w:szCs w:val="24"/>
          <w:highlight w:val="white"/>
          <w:rtl w:val="0"/>
        </w:rPr>
        <w:t xml:space="preserve">Let's understand it via the example below.</w:t>
      </w:r>
    </w:p>
    <w:p w:rsidR="00000000" w:rsidDel="00000000" w:rsidP="00000000" w:rsidRDefault="00000000" w:rsidRPr="00000000" w14:paraId="00000021">
      <w:pPr>
        <w:rPr>
          <w:rFonts w:ascii="Verdana" w:cs="Verdana" w:eastAsia="Verdana" w:hAnsi="Verdana"/>
          <w:color w:val="273239"/>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