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3864" w:sz="1"/>
              <w:left w:val="single" w:color="1F3864" w:sz="1"/>
              <w:bottom w:val="single" w:color="1F3864" w:sz="1"/>
              <w:right w:val="single" w:color="1F3864" w:sz="1"/>
            </w:tcBorders>
            <w:shd w:fill="D9E2F3" w:val="clear"/>
            <w:tcMar>
              <w:top w:type="dxa" w:w="200"/>
              <w:left w:type="dxa" w:w="240"/>
              <w:bottom w:type="dxa" w:w="200"/>
              <w:right w:type="dxa" w:w="240"/>
            </w:tcMar>
          </w:tcPr>
          <w:p>
            <w:r>
              <w:rPr>
                <w:rFonts w:ascii="Arial" w:cs="Arial" w:eastAsia="Arial" w:hAnsi="Arial"/>
                <w:b/>
                <w:bCs/>
                <w:color w:val="1F3864"/>
                <w:sz w:val="28"/>
                <w:szCs w:val="28"/>
              </w:rPr>
              <w:t xml:space="preserve">MT / NT Report — Logic Revision</w:t>
            </w:r>
          </w:p>
          <w:p>
            <w:r>
              <w:rPr>
                <w:rFonts w:ascii="Arial" w:cs="Arial" w:eastAsia="Arial" w:hAnsi="Arial"/>
                <w:color w:val="2E75B6"/>
                <w:sz w:val="22"/>
                <w:szCs w:val="22"/>
              </w:rPr>
              <w:t xml:space="preserve">UAT Pre-communication to Business Users</w:t>
            </w:r>
          </w:p>
          <w:p>
            <w:r>
              <w:rPr>
                <w:rFonts w:ascii="Arial" w:cs="Arial" w:eastAsia="Arial" w:hAnsi="Arial"/>
                <w:color w:val="1F3864"/>
                <w:sz w:val="18"/>
                <w:szCs w:val="18"/>
              </w:rPr>
              <w:t xml:space="preserve">Program: ZAPO_GATP_ALLOCATION_F005  |  T-Code: ZGATPDB  |  Go-Live: 1st of Month</w:t>
            </w:r>
          </w:p>
        </w:tc>
      </w:tr>
    </w:tbl>
    <w:p>
      <w:pPr>
        <w:spacing w:after="160"/>
      </w:pPr>
      <w:r>
        <w:t xml:space="preserve"/>
      </w:r>
    </w:p>
    <w:p>
      <w:pPr>
        <w:spacing w:after="120"/>
      </w:pPr>
      <w:r>
        <w:rPr>
          <w:rFonts w:ascii="Arial" w:cs="Arial" w:eastAsia="Arial" w:hAnsi="Arial"/>
          <w:b w:val="false"/>
          <w:bCs w:val="false"/>
          <w:color w:val="000000"/>
          <w:sz w:val="20"/>
          <w:szCs w:val="20"/>
        </w:rPr>
        <w:t xml:space="preserve">Dear Team,</w:t>
      </w:r>
    </w:p>
    <w:p>
      <w:pPr>
        <w:spacing w:after="120"/>
      </w:pPr>
      <w:r>
        <w:rPr>
          <w:rFonts w:ascii="Arial" w:cs="Arial" w:eastAsia="Arial" w:hAnsi="Arial"/>
          <w:b w:val="false"/>
          <w:bCs w:val="false"/>
          <w:color w:val="000000"/>
          <w:sz w:val="20"/>
          <w:szCs w:val="20"/>
        </w:rPr>
        <w:t xml:space="preserve">We have completed the analysis and design for the MT / NT report logic revision. Please review the below summary of changes and their business impact carefully before UAT. This communication is to ensure full alignment so there are no surprises during or after testing.</w:t>
      </w:r>
    </w:p>
    <w:p>
      <w:pPr>
        <w:spacing w:after="160"/>
      </w:pPr>
      <w:r>
        <w:t xml:space="preserve"/>
      </w:r>
    </w:p>
    <w:p>
      <w:pPr>
        <w:pStyle w:val="Heading2"/>
      </w:pPr>
      <w:r>
        <w:rPr>
          <w:rFonts w:ascii="Arial" w:cs="Arial" w:eastAsia="Arial" w:hAnsi="Arial"/>
          <w:b/>
          <w:bCs/>
          <w:color w:val="2E75B6"/>
          <w:sz w:val="26"/>
          <w:szCs w:val="26"/>
        </w:rPr>
        <w:t xml:space="preserve">1.  Why are we making this change?</w:t>
      </w:r>
    </w:p>
    <w:p>
      <w:pPr>
        <w:pStyle w:val="ListParagraph"/>
        <w:numPr>
          <w:ilvl w:val="0"/>
          <w:numId w:val="2"/>
        </w:numPr>
        <w:spacing w:after="80"/>
      </w:pPr>
      <w:r>
        <w:rPr>
          <w:rFonts w:ascii="Arial" w:cs="Arial" w:eastAsia="Arial" w:hAnsi="Arial"/>
          <w:sz w:val="20"/>
          <w:szCs w:val="20"/>
        </w:rPr>
        <w:t xml:space="preserve">Current MT / NT report has known accuracy issues identified through business observations and data analysis.</w:t>
      </w:r>
    </w:p>
    <w:p>
      <w:pPr>
        <w:pStyle w:val="ListParagraph"/>
        <w:numPr>
          <w:ilvl w:val="0"/>
          <w:numId w:val="2"/>
        </w:numPr>
        <w:spacing w:after="80"/>
      </w:pPr>
      <w:r>
        <w:rPr>
          <w:rFonts w:ascii="Arial" w:cs="Arial" w:eastAsia="Arial" w:hAnsi="Arial"/>
          <w:sz w:val="20"/>
          <w:szCs w:val="20"/>
        </w:rPr>
        <w:t xml:space="preserve">The key problems: (a) BE / FL / DZ blocked orders inflate the daily and MTD incoming order count, (b) credit blocked orders are not counted in incoming orders, (c) Manual Touch qty is derived from system allocation logic instead of actual user adjustment records.</w:t>
      </w:r>
    </w:p>
    <w:p>
      <w:pPr>
        <w:pStyle w:val="ListParagraph"/>
        <w:numPr>
          <w:ilvl w:val="0"/>
          <w:numId w:val="2"/>
        </w:numPr>
        <w:spacing w:after="80"/>
      </w:pPr>
      <w:r>
        <w:rPr>
          <w:rFonts w:ascii="Arial" w:cs="Arial" w:eastAsia="Arial" w:hAnsi="Arial"/>
          <w:sz w:val="20"/>
          <w:szCs w:val="20"/>
        </w:rPr>
        <w:t xml:space="preserve">These issues cause MT % and NT % figures to be incorrect — either overstated or understated.</w:t>
      </w:r>
    </w:p>
    <w:p>
      <w:pPr>
        <w:pStyle w:val="ListParagraph"/>
        <w:numPr>
          <w:ilvl w:val="0"/>
          <w:numId w:val="2"/>
        </w:numPr>
        <w:spacing w:after="80"/>
      </w:pPr>
      <w:r>
        <w:rPr>
          <w:rFonts w:ascii="Arial" w:cs="Arial" w:eastAsia="Arial" w:hAnsi="Arial"/>
          <w:sz w:val="20"/>
          <w:szCs w:val="20"/>
        </w:rPr>
        <w:t xml:space="preserve">This revision corrects all three issues with minimum change to the existing program.</w:t>
      </w:r>
    </w:p>
    <w:p>
      <w:pPr>
        <w:spacing w:after="160"/>
      </w:pPr>
      <w:r>
        <w:t xml:space="preserve"/>
      </w:r>
    </w:p>
    <w:p>
      <w:pPr>
        <w:pStyle w:val="Heading2"/>
      </w:pPr>
      <w:r>
        <w:rPr>
          <w:rFonts w:ascii="Arial" w:cs="Arial" w:eastAsia="Arial" w:hAnsi="Arial"/>
          <w:b/>
          <w:bCs/>
          <w:color w:val="2E75B6"/>
          <w:sz w:val="26"/>
          <w:szCs w:val="26"/>
        </w:rPr>
        <w:t xml:space="preserve">2.  What is changing — in plain business language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2720"/>
        <w:gridCol w:w="2720"/>
      </w:tblGrid>
      <w:tr>
        <w:tc>
          <w:tcPr>
            <w:tcW w:type="dxa" w:w="3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Area</w:t>
            </w:r>
          </w:p>
        </w:tc>
        <w:tc>
          <w:tcPr>
            <w:tcW w:type="dxa" w:w="272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behaviour</w:t>
            </w:r>
          </w:p>
        </w:tc>
        <w:tc>
          <w:tcPr>
            <w:tcW w:type="dxa" w:w="272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behaviour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How MT qty is identified</w:t>
            </w:r>
          </w:p>
        </w:tc>
        <w:tc>
          <w:tcPr>
            <w:tcW w:type="dxa" w:w="2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Derived from PAG system allocation math (P_ALC_PRE and P_USR_ADJ)</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Read directly from User Adjustment approval table (ZAPO_ADB_ADJ) — only Approved records count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 / FL / DZ blocked orders</w:t>
            </w:r>
          </w:p>
        </w:tc>
        <w:tc>
          <w:tcPr>
            <w:tcW w:type="dxa" w:w="27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confirmed qty counted every day in incoming orders — inflates MTD</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Counted only once per month — daily re-confirmation is capped to actual SO qty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Credit blocked orders (allocation strategy)</w:t>
            </w:r>
          </w:p>
        </w:tc>
        <w:tc>
          <w:tcPr>
            <w:tcW w:type="dxa" w:w="27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Not visible in incoming orders — allocation reserved but not captured</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Added to incoming order qty from Sales Order list (Z1 and KSV strategy orders only)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Future delivery dated orders</w:t>
            </w:r>
          </w:p>
        </w:tc>
        <w:tc>
          <w:tcPr>
            <w:tcW w:type="dxa" w:w="27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Orders confirmed today with future delivery date are missed</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Captured within current month — delivery date filter extended to month end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Cancelled orders</w:t>
            </w:r>
          </w:p>
        </w:tc>
        <w:tc>
          <w:tcPr>
            <w:tcW w:type="dxa" w:w="27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Once cancelled the order is completely excluded — replacement orders get blocked</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Cancelled orders remain in monthly cap so replacement SOs are counted correctly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Depot location logic</w:t>
            </w:r>
          </w:p>
        </w:tc>
        <w:tc>
          <w:tcPr>
            <w:tcW w:type="dxa" w:w="27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MT derived from PAG quota logic</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MT from User Adjustment approvals only — same as Plant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Email report MT / NT figures</w:t>
            </w:r>
          </w:p>
        </w:tc>
        <w:tc>
          <w:tcPr>
            <w:tcW w:type="dxa" w:w="27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Supplemented from Sales Order list — can double count</w:t>
            </w:r>
          </w:p>
        </w:tc>
        <w:tc>
          <w:tcPr>
            <w:tcW w:type="dxa" w:w="27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Read directly from backup table — no supplementation needed</w:t>
            </w:r>
          </w:p>
        </w:tc>
      </w:tr>
    </w:tbl>
    <w:p>
      <w:pPr>
        <w:spacing w:after="160"/>
      </w:pPr>
      <w:r>
        <w:t xml:space="preserve"/>
      </w:r>
    </w:p>
    <w:p>
      <w:pPr>
        <w:pStyle w:val="Heading2"/>
      </w:pPr>
      <w:r>
        <w:rPr>
          <w:rFonts w:ascii="Arial" w:cs="Arial" w:eastAsia="Arial" w:hAnsi="Arial"/>
          <w:b/>
          <w:bCs/>
          <w:color w:val="2E75B6"/>
          <w:sz w:val="26"/>
          <w:szCs w:val="26"/>
        </w:rPr>
        <w:t xml:space="preserve">3.  What you will see differently in the report after go-live</w:t>
      </w:r>
    </w:p>
    <w:p>
      <w:pPr>
        <w:pStyle w:val="ListParagraph"/>
        <w:numPr>
          <w:ilvl w:val="0"/>
          <w:numId w:val="2"/>
        </w:numPr>
        <w:spacing w:after="80"/>
      </w:pPr>
      <w:r>
        <w:rPr>
          <w:rFonts w:ascii="Arial" w:cs="Arial" w:eastAsia="Arial" w:hAnsi="Arial"/>
          <w:sz w:val="20"/>
          <w:szCs w:val="20"/>
        </w:rPr>
        <w:t xml:space="preserve">MT quantity will exactly match the total User Adjustment approved quantities for the day — no more, no less.</w:t>
      </w:r>
    </w:p>
    <w:p>
      <w:pPr>
        <w:pStyle w:val="ListParagraph"/>
        <w:numPr>
          <w:ilvl w:val="0"/>
          <w:numId w:val="2"/>
        </w:numPr>
        <w:spacing w:after="80"/>
      </w:pPr>
      <w:r>
        <w:rPr>
          <w:rFonts w:ascii="Arial" w:cs="Arial" w:eastAsia="Arial" w:hAnsi="Arial"/>
          <w:sz w:val="20"/>
          <w:szCs w:val="20"/>
        </w:rPr>
        <w:t xml:space="preserve">NT quantity will be incoming order total minus MT — clean simple subtraction.</w:t>
      </w:r>
    </w:p>
    <w:p>
      <w:pPr>
        <w:pStyle w:val="ListParagraph"/>
        <w:numPr>
          <w:ilvl w:val="0"/>
          <w:numId w:val="2"/>
        </w:numPr>
        <w:spacing w:after="80"/>
      </w:pPr>
      <w:r>
        <w:rPr>
          <w:rFonts w:ascii="Arial" w:cs="Arial" w:eastAsia="Arial" w:hAnsi="Arial"/>
          <w:sz w:val="20"/>
          <w:szCs w:val="20"/>
        </w:rPr>
        <w:t xml:space="preserve">MTD figures will no longer inflate for orders stuck in BE / FL / DZ block for multiple days.</w:t>
      </w:r>
    </w:p>
    <w:p>
      <w:pPr>
        <w:pStyle w:val="ListParagraph"/>
        <w:numPr>
          <w:ilvl w:val="0"/>
          <w:numId w:val="2"/>
        </w:numPr>
        <w:spacing w:after="80"/>
      </w:pPr>
      <w:r>
        <w:rPr>
          <w:rFonts w:ascii="Arial" w:cs="Arial" w:eastAsia="Arial" w:hAnsi="Arial"/>
          <w:sz w:val="20"/>
          <w:szCs w:val="20"/>
        </w:rPr>
        <w:t xml:space="preserve">Credit blocked orders (CMGST = B, allocation strategy Z1 / KSV) will now appear in incoming order qty for Plant locations.</w:t>
      </w:r>
    </w:p>
    <w:p>
      <w:pPr>
        <w:pStyle w:val="ListParagraph"/>
        <w:numPr>
          <w:ilvl w:val="0"/>
          <w:numId w:val="2"/>
        </w:numPr>
        <w:spacing w:after="80"/>
      </w:pPr>
      <w:r>
        <w:rPr>
          <w:rFonts w:ascii="Arial" w:cs="Arial" w:eastAsia="Arial" w:hAnsi="Arial"/>
          <w:sz w:val="20"/>
          <w:szCs w:val="20"/>
        </w:rPr>
        <w:t xml:space="preserve">If a User Adjustment is done on a credit blocked order — it will correctly show as MT even though the order is not confirmed in PAG.</w:t>
      </w:r>
    </w:p>
    <w:p>
      <w:pPr>
        <w:pStyle w:val="ListParagraph"/>
        <w:numPr>
          <w:ilvl w:val="0"/>
          <w:numId w:val="2"/>
        </w:numPr>
        <w:spacing w:after="80"/>
      </w:pPr>
      <w:r>
        <w:rPr>
          <w:rFonts w:ascii="Arial" w:cs="Arial" w:eastAsia="Arial" w:hAnsi="Arial"/>
          <w:sz w:val="20"/>
          <w:szCs w:val="20"/>
        </w:rPr>
        <w:t xml:space="preserve">Depot figures: only the MT source changes. NT and incoming order qty for Depot remain on existing logic.</w:t>
      </w:r>
    </w:p>
    <w:p>
      <w:pPr>
        <w:spacing w:after="160"/>
      </w:pPr>
      <w:r>
        <w:t xml:space="preserve"/>
      </w:r>
    </w:p>
    <w:p>
      <w:pPr>
        <w:pStyle w:val="Heading2"/>
      </w:pPr>
      <w:r>
        <w:rPr>
          <w:rFonts w:ascii="Arial" w:cs="Arial" w:eastAsia="Arial" w:hAnsi="Arial"/>
          <w:b/>
          <w:bCs/>
          <w:color w:val="2E75B6"/>
          <w:sz w:val="26"/>
          <w:szCs w:val="26"/>
        </w:rPr>
        <w:t xml:space="preserve">4.  What is NOT changing</w:t>
      </w:r>
    </w:p>
    <w:p>
      <w:pPr>
        <w:pStyle w:val="ListParagraph"/>
        <w:numPr>
          <w:ilvl w:val="0"/>
          <w:numId w:val="2"/>
        </w:numPr>
        <w:spacing w:after="80"/>
      </w:pPr>
      <w:r>
        <w:rPr>
          <w:rFonts w:ascii="Arial" w:cs="Arial" w:eastAsia="Arial" w:hAnsi="Arial"/>
          <w:sz w:val="20"/>
          <w:szCs w:val="20"/>
        </w:rPr>
        <w:t xml:space="preserve">Report format and email layout — no change.</w:t>
      </w:r>
    </w:p>
    <w:p>
      <w:pPr>
        <w:pStyle w:val="ListParagraph"/>
        <w:numPr>
          <w:ilvl w:val="0"/>
          <w:numId w:val="2"/>
        </w:numPr>
        <w:spacing w:after="80"/>
      </w:pPr>
      <w:r>
        <w:rPr>
          <w:rFonts w:ascii="Arial" w:cs="Arial" w:eastAsia="Arial" w:hAnsi="Arial"/>
          <w:sz w:val="20"/>
          <w:szCs w:val="20"/>
        </w:rPr>
        <w:t xml:space="preserve">Report schedule (22:30 daily) — no change.</w:t>
      </w:r>
    </w:p>
    <w:p>
      <w:pPr>
        <w:pStyle w:val="ListParagraph"/>
        <w:numPr>
          <w:ilvl w:val="0"/>
          <w:numId w:val="2"/>
        </w:numPr>
        <w:spacing w:after="80"/>
      </w:pPr>
      <w:r>
        <w:rPr>
          <w:rFonts w:ascii="Arial" w:cs="Arial" w:eastAsia="Arial" w:hAnsi="Arial"/>
          <w:sz w:val="20"/>
          <w:szCs w:val="20"/>
        </w:rPr>
        <w:t xml:space="preserve">Recipient list — no change.</w:t>
      </w:r>
    </w:p>
    <w:p>
      <w:pPr>
        <w:pStyle w:val="ListParagraph"/>
        <w:numPr>
          <w:ilvl w:val="0"/>
          <w:numId w:val="2"/>
        </w:numPr>
        <w:spacing w:after="80"/>
      </w:pPr>
      <w:r>
        <w:rPr>
          <w:rFonts w:ascii="Arial" w:cs="Arial" w:eastAsia="Arial" w:hAnsi="Arial"/>
          <w:sz w:val="20"/>
          <w:szCs w:val="20"/>
        </w:rPr>
        <w:t xml:space="preserve">Allocation quantity, balance quantity display — no change.</w:t>
      </w:r>
    </w:p>
    <w:p>
      <w:pPr>
        <w:pStyle w:val="ListParagraph"/>
        <w:numPr>
          <w:ilvl w:val="0"/>
          <w:numId w:val="2"/>
        </w:numPr>
        <w:spacing w:after="80"/>
      </w:pPr>
      <w:r>
        <w:rPr>
          <w:rFonts w:ascii="Arial" w:cs="Arial" w:eastAsia="Arial" w:hAnsi="Arial"/>
          <w:sz w:val="20"/>
          <w:szCs w:val="20"/>
        </w:rPr>
        <w:t xml:space="preserve">Depot incoming order quantity logic — no change.</w:t>
      </w:r>
    </w:p>
    <w:p>
      <w:pPr>
        <w:pStyle w:val="ListParagraph"/>
        <w:numPr>
          <w:ilvl w:val="0"/>
          <w:numId w:val="2"/>
        </w:numPr>
        <w:spacing w:after="80"/>
      </w:pPr>
      <w:r>
        <w:rPr>
          <w:rFonts w:ascii="Arial" w:cs="Arial" w:eastAsia="Arial" w:hAnsi="Arial"/>
          <w:sz w:val="20"/>
          <w:szCs w:val="20"/>
        </w:rPr>
        <w:t xml:space="preserve">Stock strategy orders — never counted, still not counted.</w:t>
      </w:r>
    </w:p>
    <w:p>
      <w:pPr>
        <w:pStyle w:val="ListParagraph"/>
        <w:numPr>
          <w:ilvl w:val="0"/>
          <w:numId w:val="2"/>
        </w:numPr>
        <w:spacing w:after="80"/>
      </w:pPr>
      <w:r>
        <w:rPr>
          <w:rFonts w:ascii="Arial" w:cs="Arial" w:eastAsia="Arial" w:hAnsi="Arial"/>
          <w:sz w:val="20"/>
          <w:szCs w:val="20"/>
        </w:rPr>
        <w:t xml:space="preserve">KL strategy orders in credit block — not added to incoming qty (already captured in PAG when confirmed).</w:t>
      </w:r>
    </w:p>
    <w:p>
      <w:pPr>
        <w:spacing w:after="160"/>
      </w:pPr>
      <w:r>
        <w:t xml:space="preserve"/>
      </w:r>
    </w:p>
    <w:p>
      <w:pPr>
        <w:pStyle w:val="Heading2"/>
      </w:pPr>
      <w:r>
        <w:rPr>
          <w:rFonts w:ascii="Arial" w:cs="Arial" w:eastAsia="Arial" w:hAnsi="Arial"/>
          <w:b/>
          <w:bCs/>
          <w:color w:val="2E75B6"/>
          <w:sz w:val="26"/>
          <w:szCs w:val="26"/>
        </w:rPr>
        <w:t xml:space="preserve">5.  Important rules to understand before UAT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8160"/>
      </w:tblGrid>
      <w:tr>
        <w:tc>
          <w:tcPr>
            <w:tcW w:type="dxa" w:w="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8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 — please verify these during UAT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R1</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MT for the day = Sum of User Adjustment approved quantities where Approved Date = today and Status is A or AA.</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R2</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NT for the day = Total incoming order qty minus MT. If MT is greater than incoming (credit block order with UA) — NT will be zero, MT stands.</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R3</w:t>
            </w:r>
          </w:p>
        </w:tc>
        <w:tc>
          <w:tcPr>
            <w:tcW w:type="dxa" w:w="81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Once a quantity is captured in the report for a day — it will NOT reduce if the order is cancelled or short closed later. History is frozen.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R4</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If a new order is created for the same customer and material in the same month after a cancellation — the new order is counted fresh and correctly. The cancelled order qty stays in history (R3).</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R5</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If an order was released as NT and then reversed and re-released via User Adjustment — the re-release will show as MT for the new day. The original NT figure is not changed.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R6</w:t>
            </w:r>
          </w:p>
        </w:tc>
        <w:tc>
          <w:tcPr>
            <w:tcW w:type="dxa" w:w="81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color w:val="C00000"/>
                <w:sz w:val="18"/>
                <w:szCs w:val="18"/>
              </w:rPr>
              <w:t xml:space="preserve">MUST go live from 1st of the month. Mid-month activation will give incorrect MTD figures for that month.</w:t>
            </w:r>
          </w:p>
        </w:tc>
      </w:tr>
    </w:tbl>
    <w:p>
      <w:pPr>
        <w:spacing w:after="160"/>
      </w:pPr>
      <w:r>
        <w:t xml:space="preserve"/>
      </w:r>
    </w:p>
    <w:p>
      <w:pPr>
        <w:pStyle w:val="Heading2"/>
      </w:pPr>
      <w:r>
        <w:rPr>
          <w:rFonts w:ascii="Arial" w:cs="Arial" w:eastAsia="Arial" w:hAnsi="Arial"/>
          <w:b/>
          <w:bCs/>
          <w:color w:val="2E75B6"/>
          <w:sz w:val="26"/>
          <w:szCs w:val="26"/>
        </w:rPr>
        <w:t xml:space="preserve">6.  Scenarios to specifically verify during UAT</w:t>
      </w:r>
    </w:p>
    <w:p>
      <w:pPr>
        <w:pStyle w:val="ListParagraph"/>
        <w:numPr>
          <w:ilvl w:val="0"/>
          <w:numId w:val="2"/>
        </w:numPr>
        <w:spacing w:after="80"/>
      </w:pPr>
      <w:r>
        <w:rPr>
          <w:rFonts w:ascii="Arial" w:cs="Arial" w:eastAsia="Arial" w:hAnsi="Arial"/>
          <w:sz w:val="20"/>
          <w:szCs w:val="20"/>
        </w:rPr>
        <w:t xml:space="preserve">Verify: A BE / FL / DZ blocked order does NOT add qty on Day 2 and Day 3 of the same month.</w:t>
      </w:r>
    </w:p>
    <w:p>
      <w:pPr>
        <w:pStyle w:val="ListParagraph"/>
        <w:numPr>
          <w:ilvl w:val="0"/>
          <w:numId w:val="2"/>
        </w:numPr>
        <w:spacing w:after="80"/>
      </w:pPr>
      <w:r>
        <w:rPr>
          <w:rFonts w:ascii="Arial" w:cs="Arial" w:eastAsia="Arial" w:hAnsi="Arial"/>
          <w:sz w:val="20"/>
          <w:szCs w:val="20"/>
        </w:rPr>
        <w:t xml:space="preserve">Verify: A credit blocked order (CMGST=B) with Z1 or KSV strategy appears in incoming order qty for Plant.</w:t>
      </w:r>
    </w:p>
    <w:p>
      <w:pPr>
        <w:pStyle w:val="ListParagraph"/>
        <w:numPr>
          <w:ilvl w:val="0"/>
          <w:numId w:val="2"/>
        </w:numPr>
        <w:spacing w:after="80"/>
      </w:pPr>
      <w:r>
        <w:rPr>
          <w:rFonts w:ascii="Arial" w:cs="Arial" w:eastAsia="Arial" w:hAnsi="Arial"/>
          <w:sz w:val="20"/>
          <w:szCs w:val="20"/>
        </w:rPr>
        <w:t xml:space="preserve">Verify: A User Adjustment approval today reflects as MT quantity in today's report.</w:t>
      </w:r>
    </w:p>
    <w:p>
      <w:pPr>
        <w:pStyle w:val="ListParagraph"/>
        <w:numPr>
          <w:ilvl w:val="0"/>
          <w:numId w:val="2"/>
        </w:numPr>
        <w:spacing w:after="80"/>
      </w:pPr>
      <w:r>
        <w:rPr>
          <w:rFonts w:ascii="Arial" w:cs="Arial" w:eastAsia="Arial" w:hAnsi="Arial"/>
          <w:sz w:val="20"/>
          <w:szCs w:val="20"/>
        </w:rPr>
        <w:t xml:space="preserve">Verify: A credit blocked order with UA done today shows MT correctly even though PAG has zero confirmed qty.</w:t>
      </w:r>
    </w:p>
    <w:p>
      <w:pPr>
        <w:pStyle w:val="ListParagraph"/>
        <w:numPr>
          <w:ilvl w:val="0"/>
          <w:numId w:val="2"/>
        </w:numPr>
        <w:spacing w:after="80"/>
      </w:pPr>
      <w:r>
        <w:rPr>
          <w:rFonts w:ascii="Arial" w:cs="Arial" w:eastAsia="Arial" w:hAnsi="Arial"/>
          <w:sz w:val="20"/>
          <w:szCs w:val="20"/>
        </w:rPr>
        <w:t xml:space="preserve">Verify: A cancelled order does not reduce prior day figures in MTD. A new replacement order is counted correctly.</w:t>
      </w:r>
    </w:p>
    <w:p>
      <w:pPr>
        <w:pStyle w:val="ListParagraph"/>
        <w:numPr>
          <w:ilvl w:val="0"/>
          <w:numId w:val="2"/>
        </w:numPr>
        <w:spacing w:after="80"/>
      </w:pPr>
      <w:r>
        <w:rPr>
          <w:rFonts w:ascii="Arial" w:cs="Arial" w:eastAsia="Arial" w:hAnsi="Arial"/>
          <w:sz w:val="20"/>
          <w:szCs w:val="20"/>
        </w:rPr>
        <w:t xml:space="preserve">Verify: Depot MT = User Adjustment approved qty only. Depot NT = confirmed qty minus MT.</w:t>
      </w:r>
    </w:p>
    <w:p>
      <w:pPr>
        <w:pStyle w:val="ListParagraph"/>
        <w:numPr>
          <w:ilvl w:val="0"/>
          <w:numId w:val="2"/>
        </w:numPr>
        <w:spacing w:after="80"/>
      </w:pPr>
      <w:r>
        <w:rPr>
          <w:rFonts w:ascii="Arial" w:cs="Arial" w:eastAsia="Arial" w:hAnsi="Arial"/>
          <w:sz w:val="20"/>
          <w:szCs w:val="20"/>
        </w:rPr>
        <w:t xml:space="preserve">Verify: Email report MT + NT totals match what is in ZAPO_PRIME_BCKU table for the same date and division.</w:t>
      </w:r>
    </w:p>
    <w:p>
      <w:pPr>
        <w:spacing w:after="160"/>
      </w:pPr>
      <w:r>
        <w:t xml:space="preserve"/>
      </w:r>
    </w:p>
    <w:p>
      <w:pPr>
        <w:pStyle w:val="Heading2"/>
      </w:pPr>
      <w:r>
        <w:rPr>
          <w:rFonts w:ascii="Arial" w:cs="Arial" w:eastAsia="Arial" w:hAnsi="Arial"/>
          <w:b/>
          <w:bCs/>
          <w:color w:val="2E75B6"/>
          <w:sz w:val="26"/>
          <w:szCs w:val="26"/>
        </w:rPr>
        <w:t xml:space="preserve">7.  Known limitations — accepted for this release</w:t>
      </w:r>
    </w:p>
    <w:p>
      <w:pPr>
        <w:spacing w:after="120"/>
      </w:pPr>
      <w:r>
        <w:rPr>
          <w:rFonts w:ascii="Arial" w:cs="Arial" w:eastAsia="Arial" w:hAnsi="Arial"/>
          <w:b w:val="false"/>
          <w:bCs w:val="false"/>
          <w:color w:val="C55A11"/>
          <w:sz w:val="20"/>
          <w:szCs w:val="20"/>
        </w:rPr>
        <w:t xml:space="preserve">The following scenarios are known and accepted as limitations for this release. They will be fully addressed in the Databricks re-build:</w:t>
      </w:r>
    </w:p>
    <w:p>
      <w:pPr>
        <w:pStyle w:val="ListParagraph"/>
        <w:numPr>
          <w:ilvl w:val="0"/>
          <w:numId w:val="2"/>
        </w:numPr>
        <w:spacing w:after="80"/>
      </w:pPr>
      <w:r>
        <w:rPr>
          <w:rFonts w:ascii="Arial" w:cs="Arial" w:eastAsia="Arial" w:hAnsi="Arial"/>
          <w:sz w:val="20"/>
          <w:szCs w:val="20"/>
        </w:rPr>
        <w:t xml:space="preserve">If an order is short closed or quantity reduced mid-month — the already-captured qty in MTD will not reduce. MTD may overstate by the reduced amount for that month.</w:t>
      </w:r>
    </w:p>
    <w:p>
      <w:pPr>
        <w:pStyle w:val="ListParagraph"/>
        <w:numPr>
          <w:ilvl w:val="0"/>
          <w:numId w:val="2"/>
        </w:numPr>
        <w:spacing w:after="80"/>
      </w:pPr>
      <w:r>
        <w:rPr>
          <w:rFonts w:ascii="Arial" w:cs="Arial" w:eastAsia="Arial" w:hAnsi="Arial"/>
          <w:sz w:val="20"/>
          <w:szCs w:val="20"/>
        </w:rPr>
        <w:t xml:space="preserve">If an order moves between delivery blocks dynamically across days (e.g. FL+Credit A on Day 1, then BE+Credit B on Day 2) — complex multi-day tracking is not fully covered. The monthly cap logic handles most scenarios but edge cases may exist.</w:t>
      </w:r>
    </w:p>
    <w:p>
      <w:pPr>
        <w:spacing w:after="160"/>
      </w:pPr>
      <w:r>
        <w:t xml:space="preserve"/>
      </w:r>
    </w:p>
    <w:p>
      <w:pPr>
        <w:spacing w:after="120"/>
      </w:pPr>
      <w:r>
        <w:rPr>
          <w:rFonts w:ascii="Arial" w:cs="Arial" w:eastAsia="Arial" w:hAnsi="Arial"/>
          <w:b w:val="false"/>
          <w:bCs w:val="false"/>
          <w:color w:val="000000"/>
          <w:sz w:val="20"/>
          <w:szCs w:val="20"/>
        </w:rPr>
        <w:t xml:space="preserve">Please reply with any concerns or questions before UAT begins. Once UAT starts, any observations outside the scope above will be treated as new enhancement requests.</w:t>
      </w:r>
    </w:p>
    <w:p>
      <w:pPr>
        <w:spacing w:after="160"/>
      </w:pPr>
      <w:r>
        <w:t xml:space="preserve"/>
      </w:r>
    </w:p>
    <w:p>
      <w:pPr>
        <w:spacing w:after="120"/>
      </w:pPr>
      <w:r>
        <w:rPr>
          <w:rFonts w:ascii="Arial" w:cs="Arial" w:eastAsia="Arial" w:hAnsi="Arial"/>
          <w:b w:val="false"/>
          <w:bCs w:val="false"/>
          <w:color w:val="000000"/>
          <w:sz w:val="20"/>
          <w:szCs w:val="20"/>
        </w:rPr>
        <w:t xml:space="preserve">Regards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2026-04-21T05:58:22.629Z</dcterms:created>
  <dcterms:modified xsi:type="dcterms:W3CDTF">2026-04-21T05:58:22.633Z</dcterms:modified>
</cp:coreProperties>
</file>

<file path=docProps/custom.xml><?xml version="1.0" encoding="utf-8"?>
<Properties xmlns="http://schemas.openxmlformats.org/officeDocument/2006/custom-properties" xmlns:vt="http://schemas.openxmlformats.org/officeDocument/2006/docPropsVTypes"/>
</file>