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D3557"/>
          <w:sz w:val="44"/>
        </w:rPr>
        <w:t>Shortest-Path Planning in a Large-Scale IoV/UAV Mobility Network</w:t>
      </w:r>
    </w:p>
    <w:p>
      <w:pPr>
        <w:spacing w:after="320"/>
      </w:pPr>
      <w:r>
        <w:rPr>
          <w:b/>
          <w:color w:val="457B9D"/>
          <w:sz w:val="24"/>
        </w:rPr>
        <w:t>DAA Laboratory Project | Comparative Algorithmic Performance Evaluation</w:t>
        <w:br/>
      </w:r>
      <w:r>
        <w:rPr>
          <w:i/>
          <w:color w:val="666666"/>
          <w:sz w:val="20"/>
        </w:rPr>
        <w:t>Benchmark: 9th DIMACS USA Road Network (New York: USA-road-d.NY) | Date: October 2026</w:t>
      </w:r>
    </w:p>
    <w:p>
      <w:pPr>
        <w:pStyle w:val="Heading1"/>
        <w:spacing w:before="240" w:after="120"/>
      </w:pPr>
      <w:r>
        <w:t>1. Executive Summary</w:t>
      </w:r>
    </w:p>
    <w:p>
      <w:r>
        <w:t>This project presents a rigorous computational study and empirical analysis of shortest-path routing algorithms applied to realistic, large-scale vehicular mobility (Internet of Vehicles - IoV) networks. Using the 9th DIMACS Implementation Challenge New York road network (264,346 vertices, 733,846 directed edges), we construct a weighted spatial graph and evaluate Dijkstra's Algorithm (implemented from first principles with a binary min-heap) against the A* Search Algorithm (with an admissible and consistent scaled Haversine distance heuristic) across multiple network scales (1,000 to 100,000 vertices).</w:t>
      </w:r>
    </w:p>
    <w:p>
      <w:r>
        <w:t>Key Findings:</w:t>
        <w:br/>
        <w:t>• Cost Equivalence: A* and Dijkstra yielded identical shortest-path costs across 100% of evaluated queries.</w:t>
        <w:br/>
        <w:t>• Search Space Reduction: A* pruned the search space dramatically, exploring 75.6% to 88.5% fewer vertices and examining 74.5% to 88.1% fewer edges than Dijkstra.</w:t>
        <w:br/>
        <w:t>• Execution Latency: A* achieved an average speedup of 2.1x to 5.1x over Dijkstra across all network sizes.</w:t>
        <w:br/>
        <w:t>• Dynamic Rerouting (Bonus): Dynamic edge cost penalties modeling traffic incidents (w'(u,v) = α·d + β·c) triggered optimal rerouting, saving 79.85% in path traversal cost.</w:t>
      </w:r>
    </w:p>
    <w:p>
      <w:pPr>
        <w:pStyle w:val="Heading1"/>
      </w:pPr>
      <w:r>
        <w:t>2. Part A: Dataset Selection &amp; Specification</w:t>
      </w:r>
    </w:p>
    <w:p>
      <w:r>
        <w:t>To satisfy the requirement for a realistic large-scale mobility network, we selected the official 9th DIMACS Implementation Challenge USA Road Network (New York State benchmark: USA-road-d.NY). This dataset is derived from US Census Bureau TIGER/Line geographic files.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F1FAE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Dataset Name</w:t>
            </w:r>
          </w:p>
        </w:tc>
        <w:tc>
          <w:tcPr>
            <w:tcW w:type="dxa" w:w="69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9th DIMACS Implementation Challenge: USA Road Networks (New York - Distance Metric)</w:t>
            </w:r>
          </w:p>
        </w:tc>
      </w:tr>
      <w:tr>
        <w:tc>
          <w:tcPr>
            <w:tcW w:type="dxa" w:w="3168"/>
            <w:shd w:fill="F1FAE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Source URL</w:t>
            </w:r>
          </w:p>
        </w:tc>
        <w:tc>
          <w:tcPr>
            <w:tcW w:type="dxa" w:w="69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http://www.diag.uniroma1.it/challenge9/download.shtml</w:t>
            </w:r>
          </w:p>
        </w:tc>
      </w:tr>
      <w:tr>
        <w:tc>
          <w:tcPr>
            <w:tcW w:type="dxa" w:w="3168"/>
            <w:shd w:fill="F1FAE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Primary Citation</w:t>
            </w:r>
          </w:p>
        </w:tc>
        <w:tc>
          <w:tcPr>
            <w:tcW w:type="dxa" w:w="69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C. Demetrescu, A. V. Goldberg, D. S. Johnson (eds.), The Shortest Path Problem, DIMACS Series, Vol. 74, AMS, 2009</w:t>
            </w:r>
          </w:p>
        </w:tc>
      </w:tr>
      <w:tr>
        <w:tc>
          <w:tcPr>
            <w:tcW w:type="dxa" w:w="3168"/>
            <w:shd w:fill="F1FAE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Scale / Size</w:t>
            </w:r>
          </w:p>
        </w:tc>
        <w:tc>
          <w:tcPr>
            <w:tcW w:type="dxa" w:w="69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264,346 Vertices | 733,846 Directed Arcs (Road Segments)</w:t>
            </w:r>
          </w:p>
        </w:tc>
      </w:tr>
      <w:tr>
        <w:tc>
          <w:tcPr>
            <w:tcW w:type="dxa" w:w="3168"/>
            <w:shd w:fill="F1FAE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Graph Modeling</w:t>
            </w:r>
          </w:p>
        </w:tc>
        <w:tc>
          <w:tcPr>
            <w:tcW w:type="dxa" w:w="69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Vertex = Road intersection/waypoint; Edge = Directed road segment; Weight = Road distance (decimeters)</w:t>
            </w:r>
          </w:p>
        </w:tc>
      </w:tr>
      <w:tr>
        <w:tc>
          <w:tcPr>
            <w:tcW w:type="dxa" w:w="3168"/>
            <w:shd w:fill="F1FAE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Suitability Rationale</w:t>
            </w:r>
          </w:p>
        </w:tc>
        <w:tc>
          <w:tcPr>
            <w:tcW w:type="dxa" w:w="69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Real urban road geometry, authentic one-way restrictions, exact coordinates for A*, standardized scientific benchmark</w:t>
            </w:r>
          </w:p>
        </w:tc>
      </w:tr>
    </w:tbl>
    <w:p>
      <w:pPr>
        <w:spacing w:after="160"/>
      </w:pPr>
    </w:p>
    <w:p>
      <w:pPr>
        <w:pStyle w:val="Heading1"/>
      </w:pPr>
      <w:r>
        <w:t>3. Part B: Graph Construction &amp; Topological Analysis</w:t>
      </w:r>
    </w:p>
    <w:p>
      <w:r>
        <w:t>Preprocessing steps applied:</w:t>
        <w:br/>
        <w:t>1. Vertex Relabeling: Converted 1-based indices to 0-based integers.</w:t>
        <w:br/>
        <w:t>2. Degeneracy Filtering: Discarded self-loops and non-positive weights.</w:t>
        <w:br/>
        <w:t>3. Coordinate Transformation: Scaled micro-degrees (10^-6 deg) to decimal degrees and precomputed radians.</w:t>
        <w:br/>
        <w:t>4. Adjacency List: Built adj[u] = [(v, w), ...] storing only required neighbors, ensuring low memory footprint (~45 MB).</w:t>
        <w:br/>
        <w:t>5. Subgraph Generation: BFS outward from a central high-degree node to generate realistic, topologically connected, geographically compact subgraphs.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1D355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Graph Scale</w:t>
            </w:r>
          </w:p>
        </w:tc>
        <w:tc>
          <w:tcPr>
            <w:tcW w:type="dxa" w:w="2016"/>
            <w:shd w:fill="1D355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Vertices (|V|)</w:t>
            </w:r>
          </w:p>
        </w:tc>
        <w:tc>
          <w:tcPr>
            <w:tcW w:type="dxa" w:w="2016"/>
            <w:shd w:fill="1D355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Edges (|E|)</w:t>
            </w:r>
          </w:p>
        </w:tc>
        <w:tc>
          <w:tcPr>
            <w:tcW w:type="dxa" w:w="2016"/>
            <w:shd w:fill="1D355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Avg Degree (E/V)</w:t>
            </w:r>
          </w:p>
        </w:tc>
        <w:tc>
          <w:tcPr>
            <w:tcW w:type="dxa" w:w="2016"/>
            <w:shd w:fill="1D355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Max Degree</w:t>
            </w:r>
          </w:p>
        </w:tc>
      </w:tr>
      <w:tr>
        <w:tc>
          <w:tcPr>
            <w:tcW w:type="dxa" w:w="2016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1,000</w:t>
            </w:r>
          </w:p>
        </w:tc>
        <w:tc>
          <w:tcPr>
            <w:tcW w:type="dxa" w:w="2016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1,000</w:t>
            </w:r>
          </w:p>
        </w:tc>
        <w:tc>
          <w:tcPr>
            <w:tcW w:type="dxa" w:w="2016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3,468</w:t>
            </w:r>
          </w:p>
        </w:tc>
        <w:tc>
          <w:tcPr>
            <w:tcW w:type="dxa" w:w="2016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3.4680</w:t>
            </w:r>
          </w:p>
        </w:tc>
        <w:tc>
          <w:tcPr>
            <w:tcW w:type="dxa" w:w="2016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8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5,000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5,000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16,800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3.3600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8</w:t>
            </w:r>
          </w:p>
        </w:tc>
      </w:tr>
      <w:tr>
        <w:tc>
          <w:tcPr>
            <w:tcW w:type="dxa" w:w="2016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10,000</w:t>
            </w:r>
          </w:p>
        </w:tc>
        <w:tc>
          <w:tcPr>
            <w:tcW w:type="dxa" w:w="2016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10,000</w:t>
            </w:r>
          </w:p>
        </w:tc>
        <w:tc>
          <w:tcPr>
            <w:tcW w:type="dxa" w:w="2016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33,992</w:t>
            </w:r>
          </w:p>
        </w:tc>
        <w:tc>
          <w:tcPr>
            <w:tcW w:type="dxa" w:w="2016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3.3992</w:t>
            </w:r>
          </w:p>
        </w:tc>
        <w:tc>
          <w:tcPr>
            <w:tcW w:type="dxa" w:w="2016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8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25,000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25,000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84,532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3.3813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8</w:t>
            </w:r>
          </w:p>
        </w:tc>
      </w:tr>
      <w:tr>
        <w:tc>
          <w:tcPr>
            <w:tcW w:type="dxa" w:w="2016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50,000</w:t>
            </w:r>
          </w:p>
        </w:tc>
        <w:tc>
          <w:tcPr>
            <w:tcW w:type="dxa" w:w="2016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50,000</w:t>
            </w:r>
          </w:p>
        </w:tc>
        <w:tc>
          <w:tcPr>
            <w:tcW w:type="dxa" w:w="2016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161,546</w:t>
            </w:r>
          </w:p>
        </w:tc>
        <w:tc>
          <w:tcPr>
            <w:tcW w:type="dxa" w:w="2016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3.2309</w:t>
            </w:r>
          </w:p>
        </w:tc>
        <w:tc>
          <w:tcPr>
            <w:tcW w:type="dxa" w:w="2016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8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100,000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100,000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304,170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3.0417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8</w:t>
            </w:r>
          </w:p>
        </w:tc>
      </w:tr>
    </w:tbl>
    <w:p>
      <w:pPr>
        <w:spacing w:after="160"/>
      </w:pPr>
    </w:p>
    <w:p>
      <w:pPr>
        <w:pStyle w:val="Heading1"/>
      </w:pPr>
      <w:r>
        <w:t>4. Parts C &amp; D: Algorithms &amp; Mathematical Complexity</w:t>
      </w:r>
    </w:p>
    <w:p>
      <w:r>
        <w:t>Dijkstra's Algorithm Implementation:</w:t>
        <w:br/>
        <w:t>• Implemented with a binary min-heap (heapq) using lazy deletion to handle distance relaxations in O(log V) time.</w:t>
        <w:br/>
        <w:t>• Early stopping triggers as soon as destination D is popped from the heap.</w:t>
        <w:br/>
        <w:t>• Theoretical time complexity: O((V + E) log V). For sparse road networks (E ≈ 3V), practical runtime is O(V log V).</w:t>
        <w:br/>
        <w:t>• Space complexity: O(V + E) for adjacency list, parent array, distance array, and priority queue.</w:t>
      </w:r>
    </w:p>
    <w:p>
      <w:r>
        <w:t>A* Search Algorithm Implementation:</w:t>
        <w:br/>
        <w:t>• Evaluates priority f(v) = g(v) + h(v), where h(v) = scale · haversine(v, D).</w:t>
        <w:br/>
        <w:t>• The scaling constant scale = min_{(u,v)} [weight(u,v) / haversine(u,v)] = 7.152478 guarantees that for every edge, weight(u,v) ≥ scale · haversine(u,v).</w:t>
        <w:br/>
        <w:t>• Admissibility: Straight-line spherical distance is the infimum of any physical path. Multiplying by scale ensures h(v) ≤ d*(v, D).</w:t>
        <w:br/>
        <w:t>• Consistency (Monotonicity): By the triangle inequality on the sphere, haversine(u, D) ≤ haversine(u, v) + haversine(v, D). Scaling yields h(u) - h(v) ≤ scale · haversine(u, v) ≤ weight(u, v), proving consistency.</w:t>
        <w:br/>
        <w:t>• Consistency guarantees that each node is settled at most once without needing re-opening.</w:t>
      </w:r>
    </w:p>
    <w:p>
      <w:pPr>
        <w:pStyle w:val="Heading1"/>
      </w:pPr>
      <w:r>
        <w:t>5. Part E: Experimental Evaluation &amp; Results</w:t>
      </w:r>
    </w:p>
    <w:p>
      <w:r>
        <w:t>Benchmark queries were evaluated across 6 network scales using 10 reachable (S, D) pairs per scale with 3 timing repeats: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1D355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Graph Size</w:t>
            </w:r>
          </w:p>
        </w:tc>
        <w:tc>
          <w:tcPr>
            <w:tcW w:type="dxa" w:w="1680"/>
            <w:shd w:fill="1D355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Algorithm</w:t>
            </w:r>
          </w:p>
        </w:tc>
        <w:tc>
          <w:tcPr>
            <w:tcW w:type="dxa" w:w="1680"/>
            <w:shd w:fill="1D355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Avg Shortest Cost</w:t>
            </w:r>
          </w:p>
        </w:tc>
        <w:tc>
          <w:tcPr>
            <w:tcW w:type="dxa" w:w="1680"/>
            <w:shd w:fill="1D355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Vertices Explored</w:t>
            </w:r>
          </w:p>
        </w:tc>
        <w:tc>
          <w:tcPr>
            <w:tcW w:type="dxa" w:w="1680"/>
            <w:shd w:fill="1D355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Edges Examined</w:t>
            </w:r>
          </w:p>
        </w:tc>
        <w:tc>
          <w:tcPr>
            <w:tcW w:type="dxa" w:w="1680"/>
            <w:shd w:fill="1D355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Time (ms)</w:t>
            </w:r>
          </w:p>
        </w:tc>
      </w:tr>
      <w:tr>
        <w:tc>
          <w:tcPr>
            <w:tcW w:type="dxa" w:w="1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1,000</w:t>
            </w:r>
          </w:p>
        </w:tc>
        <w:tc>
          <w:tcPr>
            <w:tcW w:type="dxa" w:w="1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Dijkstra</w:t>
            </w:r>
          </w:p>
        </w:tc>
        <w:tc>
          <w:tcPr>
            <w:tcW w:type="dxa" w:w="1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13,592.90</w:t>
            </w:r>
          </w:p>
        </w:tc>
        <w:tc>
          <w:tcPr>
            <w:tcW w:type="dxa" w:w="1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389.5</w:t>
            </w:r>
          </w:p>
        </w:tc>
        <w:tc>
          <w:tcPr>
            <w:tcW w:type="dxa" w:w="1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1,398.2</w:t>
            </w:r>
          </w:p>
        </w:tc>
        <w:tc>
          <w:tcPr>
            <w:tcW w:type="dxa" w:w="1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0.211</w:t>
            </w:r>
          </w:p>
        </w:tc>
      </w:tr>
      <w:tr>
        <w:tc>
          <w:tcPr>
            <w:tcW w:type="dxa" w:w="1680"/>
            <w:shd w:fill="EBF2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1,000</w:t>
            </w:r>
          </w:p>
        </w:tc>
        <w:tc>
          <w:tcPr>
            <w:tcW w:type="dxa" w:w="1680"/>
            <w:shd w:fill="EBF2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A*</w:t>
            </w:r>
          </w:p>
        </w:tc>
        <w:tc>
          <w:tcPr>
            <w:tcW w:type="dxa" w:w="1680"/>
            <w:shd w:fill="EBF2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13,592.90</w:t>
            </w:r>
          </w:p>
        </w:tc>
        <w:tc>
          <w:tcPr>
            <w:tcW w:type="dxa" w:w="1680"/>
            <w:shd w:fill="EBF2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44.8 (-88.5%)</w:t>
            </w:r>
          </w:p>
        </w:tc>
        <w:tc>
          <w:tcPr>
            <w:tcW w:type="dxa" w:w="1680"/>
            <w:shd w:fill="EBF2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166.0 (-88.1%)</w:t>
            </w:r>
          </w:p>
        </w:tc>
        <w:tc>
          <w:tcPr>
            <w:tcW w:type="dxa" w:w="1680"/>
            <w:shd w:fill="EBF2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0.079 (2.67x)</w:t>
            </w:r>
          </w:p>
        </w:tc>
      </w:tr>
      <w:tr>
        <w:tc>
          <w:tcPr>
            <w:tcW w:type="dxa" w:w="1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5,000</w:t>
            </w:r>
          </w:p>
        </w:tc>
        <w:tc>
          <w:tcPr>
            <w:tcW w:type="dxa" w:w="1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Dijkstra</w:t>
            </w:r>
          </w:p>
        </w:tc>
        <w:tc>
          <w:tcPr>
            <w:tcW w:type="dxa" w:w="1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54,194.20</w:t>
            </w:r>
          </w:p>
        </w:tc>
        <w:tc>
          <w:tcPr>
            <w:tcW w:type="dxa" w:w="1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2,918.8</w:t>
            </w:r>
          </w:p>
        </w:tc>
        <w:tc>
          <w:tcPr>
            <w:tcW w:type="dxa" w:w="1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9,895.2</w:t>
            </w:r>
          </w:p>
        </w:tc>
        <w:tc>
          <w:tcPr>
            <w:tcW w:type="dxa" w:w="1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4.492</w:t>
            </w:r>
          </w:p>
        </w:tc>
      </w:tr>
      <w:tr>
        <w:tc>
          <w:tcPr>
            <w:tcW w:type="dxa" w:w="1680"/>
            <w:shd w:fill="EBF2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5,000</w:t>
            </w:r>
          </w:p>
        </w:tc>
        <w:tc>
          <w:tcPr>
            <w:tcW w:type="dxa" w:w="1680"/>
            <w:shd w:fill="EBF2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A*</w:t>
            </w:r>
          </w:p>
        </w:tc>
        <w:tc>
          <w:tcPr>
            <w:tcW w:type="dxa" w:w="1680"/>
            <w:shd w:fill="EBF2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54,194.20</w:t>
            </w:r>
          </w:p>
        </w:tc>
        <w:tc>
          <w:tcPr>
            <w:tcW w:type="dxa" w:w="1680"/>
            <w:shd w:fill="EBF2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633.6 (-78.3%)</w:t>
            </w:r>
          </w:p>
        </w:tc>
        <w:tc>
          <w:tcPr>
            <w:tcW w:type="dxa" w:w="1680"/>
            <w:shd w:fill="EBF2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2,203.3 (-77.7%)</w:t>
            </w:r>
          </w:p>
        </w:tc>
        <w:tc>
          <w:tcPr>
            <w:tcW w:type="dxa" w:w="1680"/>
            <w:shd w:fill="EBF2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1.795 (2.50x)</w:t>
            </w:r>
          </w:p>
        </w:tc>
      </w:tr>
      <w:tr>
        <w:tc>
          <w:tcPr>
            <w:tcW w:type="dxa" w:w="1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10,000</w:t>
            </w:r>
          </w:p>
        </w:tc>
        <w:tc>
          <w:tcPr>
            <w:tcW w:type="dxa" w:w="1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Dijkstra</w:t>
            </w:r>
          </w:p>
        </w:tc>
        <w:tc>
          <w:tcPr>
            <w:tcW w:type="dxa" w:w="1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46,282.10</w:t>
            </w:r>
          </w:p>
        </w:tc>
        <w:tc>
          <w:tcPr>
            <w:tcW w:type="dxa" w:w="1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3,010.8</w:t>
            </w:r>
          </w:p>
        </w:tc>
        <w:tc>
          <w:tcPr>
            <w:tcW w:type="dxa" w:w="1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10,313.2</w:t>
            </w:r>
          </w:p>
        </w:tc>
        <w:tc>
          <w:tcPr>
            <w:tcW w:type="dxa" w:w="1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4.376</w:t>
            </w:r>
          </w:p>
        </w:tc>
      </w:tr>
      <w:tr>
        <w:tc>
          <w:tcPr>
            <w:tcW w:type="dxa" w:w="1680"/>
            <w:shd w:fill="EBF2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10,000</w:t>
            </w:r>
          </w:p>
        </w:tc>
        <w:tc>
          <w:tcPr>
            <w:tcW w:type="dxa" w:w="1680"/>
            <w:shd w:fill="EBF2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A*</w:t>
            </w:r>
          </w:p>
        </w:tc>
        <w:tc>
          <w:tcPr>
            <w:tcW w:type="dxa" w:w="1680"/>
            <w:shd w:fill="EBF2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46,282.10</w:t>
            </w:r>
          </w:p>
        </w:tc>
        <w:tc>
          <w:tcPr>
            <w:tcW w:type="dxa" w:w="1680"/>
            <w:shd w:fill="EBF2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441.5 (-85.3%)</w:t>
            </w:r>
          </w:p>
        </w:tc>
        <w:tc>
          <w:tcPr>
            <w:tcW w:type="dxa" w:w="1680"/>
            <w:shd w:fill="EBF2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1,519.3 (-85.3%)</w:t>
            </w:r>
          </w:p>
        </w:tc>
        <w:tc>
          <w:tcPr>
            <w:tcW w:type="dxa" w:w="1680"/>
            <w:shd w:fill="EBF2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0.854 (5.12x)</w:t>
            </w:r>
          </w:p>
        </w:tc>
      </w:tr>
      <w:tr>
        <w:tc>
          <w:tcPr>
            <w:tcW w:type="dxa" w:w="1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25,000</w:t>
            </w:r>
          </w:p>
        </w:tc>
        <w:tc>
          <w:tcPr>
            <w:tcW w:type="dxa" w:w="1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Dijkstra</w:t>
            </w:r>
          </w:p>
        </w:tc>
        <w:tc>
          <w:tcPr>
            <w:tcW w:type="dxa" w:w="1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38,256.70</w:t>
            </w:r>
          </w:p>
        </w:tc>
        <w:tc>
          <w:tcPr>
            <w:tcW w:type="dxa" w:w="1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2,019.2</w:t>
            </w:r>
          </w:p>
        </w:tc>
        <w:tc>
          <w:tcPr>
            <w:tcW w:type="dxa" w:w="1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6,878.0</w:t>
            </w:r>
          </w:p>
        </w:tc>
        <w:tc>
          <w:tcPr>
            <w:tcW w:type="dxa" w:w="1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2.415</w:t>
            </w:r>
          </w:p>
        </w:tc>
      </w:tr>
      <w:tr>
        <w:tc>
          <w:tcPr>
            <w:tcW w:type="dxa" w:w="1680"/>
            <w:shd w:fill="EBF2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25,000</w:t>
            </w:r>
          </w:p>
        </w:tc>
        <w:tc>
          <w:tcPr>
            <w:tcW w:type="dxa" w:w="1680"/>
            <w:shd w:fill="EBF2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A*</w:t>
            </w:r>
          </w:p>
        </w:tc>
        <w:tc>
          <w:tcPr>
            <w:tcW w:type="dxa" w:w="1680"/>
            <w:shd w:fill="EBF2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38,256.70</w:t>
            </w:r>
          </w:p>
        </w:tc>
        <w:tc>
          <w:tcPr>
            <w:tcW w:type="dxa" w:w="1680"/>
            <w:shd w:fill="EBF2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490.4 (-75.7%)</w:t>
            </w:r>
          </w:p>
        </w:tc>
        <w:tc>
          <w:tcPr>
            <w:tcW w:type="dxa" w:w="1680"/>
            <w:shd w:fill="EBF2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1,676.0 (-75.6%)</w:t>
            </w:r>
          </w:p>
        </w:tc>
        <w:tc>
          <w:tcPr>
            <w:tcW w:type="dxa" w:w="1680"/>
            <w:shd w:fill="EBF2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1.136 (2.13x)</w:t>
            </w:r>
          </w:p>
        </w:tc>
      </w:tr>
      <w:tr>
        <w:tc>
          <w:tcPr>
            <w:tcW w:type="dxa" w:w="1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50,000</w:t>
            </w:r>
          </w:p>
        </w:tc>
        <w:tc>
          <w:tcPr>
            <w:tcW w:type="dxa" w:w="1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Dijkstra</w:t>
            </w:r>
          </w:p>
        </w:tc>
        <w:tc>
          <w:tcPr>
            <w:tcW w:type="dxa" w:w="1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46,910.20</w:t>
            </w:r>
          </w:p>
        </w:tc>
        <w:tc>
          <w:tcPr>
            <w:tcW w:type="dxa" w:w="1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2,203.2</w:t>
            </w:r>
          </w:p>
        </w:tc>
        <w:tc>
          <w:tcPr>
            <w:tcW w:type="dxa" w:w="1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7,540.2</w:t>
            </w:r>
          </w:p>
        </w:tc>
        <w:tc>
          <w:tcPr>
            <w:tcW w:type="dxa" w:w="1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2.978</w:t>
            </w:r>
          </w:p>
        </w:tc>
      </w:tr>
      <w:tr>
        <w:tc>
          <w:tcPr>
            <w:tcW w:type="dxa" w:w="1680"/>
            <w:shd w:fill="EBF2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50,000</w:t>
            </w:r>
          </w:p>
        </w:tc>
        <w:tc>
          <w:tcPr>
            <w:tcW w:type="dxa" w:w="1680"/>
            <w:shd w:fill="EBF2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A*</w:t>
            </w:r>
          </w:p>
        </w:tc>
        <w:tc>
          <w:tcPr>
            <w:tcW w:type="dxa" w:w="1680"/>
            <w:shd w:fill="EBF2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46,910.20</w:t>
            </w:r>
          </w:p>
        </w:tc>
        <w:tc>
          <w:tcPr>
            <w:tcW w:type="dxa" w:w="1680"/>
            <w:shd w:fill="EBF2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482.4 (-78.1%)</w:t>
            </w:r>
          </w:p>
        </w:tc>
        <w:tc>
          <w:tcPr>
            <w:tcW w:type="dxa" w:w="1680"/>
            <w:shd w:fill="EBF2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1,635.3 (-78.3%)</w:t>
            </w:r>
          </w:p>
        </w:tc>
        <w:tc>
          <w:tcPr>
            <w:tcW w:type="dxa" w:w="1680"/>
            <w:shd w:fill="EBF2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1.097 (2.71x)</w:t>
            </w:r>
          </w:p>
        </w:tc>
      </w:tr>
      <w:tr>
        <w:tc>
          <w:tcPr>
            <w:tcW w:type="dxa" w:w="1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100,000</w:t>
            </w:r>
          </w:p>
        </w:tc>
        <w:tc>
          <w:tcPr>
            <w:tcW w:type="dxa" w:w="1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Dijkstra</w:t>
            </w:r>
          </w:p>
        </w:tc>
        <w:tc>
          <w:tcPr>
            <w:tcW w:type="dxa" w:w="1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65,590.00</w:t>
            </w:r>
          </w:p>
        </w:tc>
        <w:tc>
          <w:tcPr>
            <w:tcW w:type="dxa" w:w="1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3,398.6</w:t>
            </w:r>
          </w:p>
        </w:tc>
        <w:tc>
          <w:tcPr>
            <w:tcW w:type="dxa" w:w="1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10,521.7</w:t>
            </w:r>
          </w:p>
        </w:tc>
        <w:tc>
          <w:tcPr>
            <w:tcW w:type="dxa" w:w="1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4.542</w:t>
            </w:r>
          </w:p>
        </w:tc>
      </w:tr>
      <w:tr>
        <w:tc>
          <w:tcPr>
            <w:tcW w:type="dxa" w:w="1680"/>
            <w:shd w:fill="EBF2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100,000</w:t>
            </w:r>
          </w:p>
        </w:tc>
        <w:tc>
          <w:tcPr>
            <w:tcW w:type="dxa" w:w="1680"/>
            <w:shd w:fill="EBF2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A*</w:t>
            </w:r>
          </w:p>
        </w:tc>
        <w:tc>
          <w:tcPr>
            <w:tcW w:type="dxa" w:w="1680"/>
            <w:shd w:fill="EBF2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65,590.00</w:t>
            </w:r>
          </w:p>
        </w:tc>
        <w:tc>
          <w:tcPr>
            <w:tcW w:type="dxa" w:w="1680"/>
            <w:shd w:fill="EBF2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828.6 (-75.6%)</w:t>
            </w:r>
          </w:p>
        </w:tc>
        <w:tc>
          <w:tcPr>
            <w:tcW w:type="dxa" w:w="1680"/>
            <w:shd w:fill="EBF2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2,522.8 (-76.0%)</w:t>
            </w:r>
          </w:p>
        </w:tc>
        <w:tc>
          <w:tcPr>
            <w:tcW w:type="dxa" w:w="1680"/>
            <w:shd w:fill="EBF2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1.771 (2.56x)</w:t>
            </w:r>
          </w:p>
        </w:tc>
      </w:tr>
    </w:tbl>
    <w:p>
      <w:pPr>
        <w:spacing w:after="240"/>
      </w:pPr>
    </w:p>
    <w:p>
      <w:pPr>
        <w:pStyle w:val="Heading1"/>
      </w:pPr>
      <w:r>
        <w:t>6. Performance Plots &amp; Visual Analysis</w:t>
      </w:r>
    </w:p>
    <w:p>
      <w:r>
        <w:t>Figure 1: Comprehensive Comparative Dashboard (Execution Time, Vertices Explored, Edges Examined)</w:t>
      </w:r>
    </w:p>
    <w:p>
      <w:r>
        <w:drawing>
          <wp:inline xmlns:a="http://schemas.openxmlformats.org/drawingml/2006/main" xmlns:pic="http://schemas.openxmlformats.org/drawingml/2006/picture">
            <wp:extent cx="6217920" cy="20190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01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</w:p>
    <w:p>
      <w:pPr>
        <w:pStyle w:val="Heading1"/>
      </w:pPr>
      <w:r>
        <w:t>7. Part F: Analytical Answers to Core Questions</w:t>
      </w:r>
    </w:p>
    <w:p>
      <w:pPr>
        <w:spacing w:before="120" w:after="40"/>
      </w:pPr>
      <w:r>
        <w:rPr>
          <w:b/>
          <w:color w:val="1D3557"/>
        </w:rPr>
        <w:t>Q1. Suitability of Selected Dataset</w:t>
        <w:br/>
      </w:r>
      <w:r>
        <w:t>The 9th DIMACS USA Road Network (New York) is uniquely suited because it models authentic vehicular road infrastructure derived from US Census TIGER/Line data. It contains 264,346 nodes, realistic one-way constraints, physical distance weights, and exact geographic coordinates for A* heuristics. It provides a standardized, cited, and reproducible benchmark.</w:t>
      </w:r>
    </w:p>
    <w:p>
      <w:pPr>
        <w:spacing w:before="120" w:after="40"/>
      </w:pPr>
      <w:r>
        <w:rPr>
          <w:b/>
          <w:color w:val="1D3557"/>
        </w:rPr>
        <w:t>Q2. Transformation of Raw Data into Graph</w:t>
        <w:br/>
      </w:r>
      <w:r>
        <w:t>Raw .gr and .co files were streamed line-by-line. 1-based indices were shifted to 0-based. Self-loops and non-positive weights were filtered out. Micro-degrees were converted to decimal degrees and radians. To evaluate subgraphs, a BFS was performed from a central node to extract compact, topologically connected metropolitan regions rather than shattered random nodes.</w:t>
      </w:r>
    </w:p>
    <w:p>
      <w:pPr>
        <w:spacing w:before="120" w:after="40"/>
      </w:pPr>
      <w:r>
        <w:rPr>
          <w:b/>
          <w:color w:val="1D3557"/>
        </w:rPr>
        <w:t>Q3. Cost Equivalence between Dijkstra and A*</w:t>
        <w:br/>
      </w:r>
      <w:r>
        <w:t>Dijkstra and A* produced identical path costs across 100% of tested queries. Because our scaled Haversine heuristic is admissible and consistent (h(v) &lt;= d*(v, D)), A* is mathematically guaranteed to return the optimal shortest path.</w:t>
      </w:r>
    </w:p>
    <w:p>
      <w:pPr>
        <w:spacing w:before="120" w:after="40"/>
      </w:pPr>
      <w:r>
        <w:rPr>
          <w:b/>
          <w:color w:val="1D3557"/>
        </w:rPr>
        <w:t>Q4. Search State Exploration Comparison</w:t>
        <w:br/>
      </w:r>
      <w:r>
        <w:t>A* explored 75.6% to 88.5% fewer vertices than Dijkstra. Dijkstra is an uninformed search that expands radially outward in all directions (circular topological wave). A* incorporates h(v) into f(v) = g(v) + h(v), directing exploration into a narrow elliptical corridor pointing directly toward the destination.</w:t>
      </w:r>
    </w:p>
    <w:p>
      <w:pPr>
        <w:spacing w:before="120" w:after="40"/>
      </w:pPr>
      <w:r>
        <w:rPr>
          <w:b/>
          <w:color w:val="1D3557"/>
        </w:rPr>
        <w:t>Q5. Scaling of Execution Time vs. Graph Size</w:t>
        <w:br/>
      </w:r>
      <w:r>
        <w:t>Execution time scales sub-linearly with graph size when queries span regional boundaries, and near-linearly with path hop length. With early termination, search time is governed by the radius d*(S, D) rather than total graph size. A* maintained an execution time of 0.08 ms to 1.77 ms, consistently 2x to 5x faster than Dijkstra.</w:t>
      </w:r>
    </w:p>
    <w:p>
      <w:pPr>
        <w:spacing w:before="120" w:after="40"/>
      </w:pPr>
      <w:r>
        <w:rPr>
          <w:b/>
          <w:color w:val="1D3557"/>
        </w:rPr>
        <w:t>Q6. Impact of Graph Density</w:t>
        <w:br/>
      </w:r>
      <w:r>
        <w:t>Road networks are sparse spatial planar graphs (avg degree ≈ 3.0, max degree 8). Sparsity ensures each settled node explores only 2-4 edges, keeping binary heap operations cheap (O(log V)). In dense graphs (E ≈ V^2), heap pushes explode to O(V^2), degrading binary-heap Dijkstra to O(V^2 log V) and diminishing heuristic corridor pruning.</w:t>
      </w:r>
    </w:p>
    <w:p>
      <w:pPr>
        <w:spacing w:before="120" w:after="40"/>
      </w:pPr>
      <w:r>
        <w:rPr>
          <w:b/>
          <w:color w:val="1D3557"/>
        </w:rPr>
        <w:t>Q7. Theoretical Complexity of Dijkstra</w:t>
        <w:br/>
      </w:r>
      <w:r>
        <w:t>Our Dijkstra uses an adjacency list and binary min-heap with lazy deletion: V pop operations and at most E push operations, each taking O(log V) time. Total time complexity is O((V + E) log V). For sparse networks where E = O(V), practical runtime is O(V log V). Space complexity is O(V + E).</w:t>
      </w:r>
    </w:p>
    <w:p>
      <w:pPr>
        <w:spacing w:before="120" w:after="40"/>
      </w:pPr>
      <w:r>
        <w:rPr>
          <w:b/>
          <w:color w:val="1D3557"/>
        </w:rPr>
        <w:t>Q8. Heuristic Justification, Admissibility, and Consistency</w:t>
        <w:br/>
      </w:r>
      <w:r>
        <w:t>We used scaled Haversine distance: h(v) = scale · haversine(v, D). By setting scale = min_{(u,v)} [weight(u,v) / haversine(u,v)], we guarantee weight(u,v) &gt;= scale · haversine(u,v) for every edge. By the triangle inequality on the sphere, h(u) - h(v) &lt;= scale · haversine(u, v) &lt;= weight(u, v), proving both consistency and admissibility.</w:t>
      </w:r>
    </w:p>
    <w:p>
      <w:pPr>
        <w:spacing w:before="120" w:after="40"/>
      </w:pPr>
      <w:r>
        <w:rPr>
          <w:b/>
          <w:color w:val="1D3557"/>
        </w:rPr>
        <w:t>Q9. Conversion Challenges</w:t>
        <w:br/>
      </w:r>
      <w:r>
        <w:t>Key challenges included: coordinate micro-degree units, decimeter distance units requiring heuristic scaling, streaming large compressed files efficiently, and extracting connected subgraphs using BFS rather than random sampling.</w:t>
      </w:r>
    </w:p>
    <w:p>
      <w:pPr>
        <w:spacing w:before="120" w:after="40"/>
      </w:pPr>
      <w:r>
        <w:rPr>
          <w:b/>
          <w:color w:val="1D3557"/>
        </w:rPr>
        <w:t>Q10. Architectural Recommendation for IoV/UAV Route Planning</w:t>
        <w:br/>
      </w:r>
      <w:r>
        <w:t>We strongly recommend A* with a consistent geographic heuristic for point-to-point IoV and UAV route planning. It provides provably optimal paths while saving 75-88% in CPU expansions and cutting query latency by 2x-5x, essential for high-throughput edge navigation servers. Dijkstra remains suitable when no coordinates exist or for single-source multi-destination queries.</w:t>
      </w:r>
    </w:p>
    <w:p>
      <w:pPr>
        <w:pStyle w:val="Heading1"/>
      </w:pPr>
      <w:r>
        <w:t>8. Bonus Task: Dynamic Edge Costs &amp; Congestion Rerouting</w:t>
      </w:r>
    </w:p>
    <w:p>
      <w:r>
        <w:t>Dynamic edge costs were modeled as w'(u,v) = α·d(u,v) + β·c(u,v). Under a simulated traffic incident on 40% of the baseline route (c = 5d) and ambient delay (c = 1..3d):</w:t>
        <w:br/>
        <w:t>• Baseline Route under Incident: 197,065.19</w:t>
        <w:br/>
        <w:t>• Dynamic Rerouted Optimal Route: 39,700.00 (Cost Saving: 157,365.19 or 79.85%)</w:t>
        <w:br/>
        <w:t>• Overlap with Original Route: 6 / 23 nodes (26.1%)</w:t>
        <w:br/>
        <w:t>• Algorithmic Performance: A* explored only 244 nodes (vs. 2,440 in Dijkstra) in 1.35 ms, finding the exact optimal detour.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