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RISK CLEARANCE API</w:t>
      </w:r>
    </w:p>
    <w:p>
      <w:pPr>
        <w:spacing w:after="100"/>
        <w:jc w:val="center"/>
      </w:pPr>
      <w:r>
        <w:rPr>
          <w:rFonts w:ascii="Arial" w:cs="Arial" w:eastAsia="Arial" w:hAnsi="Arial"/>
          <w:color w:val="2E86C1"/>
          <w:sz w:val="40"/>
          <w:szCs w:val="40"/>
        </w:rPr>
        <w:t xml:space="preserve">Common Domain Model</w:t>
      </w:r>
    </w:p>
    <w:p>
      <w:pPr>
        <w:spacing w:after="600"/>
        <w:jc w:val="center"/>
      </w:pPr>
      <w:r>
        <w:rPr>
          <w:rFonts w:ascii="Arial" w:cs="Arial" w:eastAsia="Arial" w:hAnsi="Arial"/>
          <w:color w:val="5DADE2"/>
          <w:sz w:val="32"/>
          <w:szCs w:val="32"/>
        </w:rPr>
        <w:t xml:space="preserve">Design Specification</w:t>
      </w:r>
    </w:p>
    <w:p>
      <w:pPr>
        <w:pBdr>
          <w:top w:val="single" w:color="1B4F72" w:sz="4" w:space="8"/>
        </w:pBdr>
        <w:spacing w:after="200" w:before="400"/>
        <w:jc w:val="center"/>
      </w:pPr>
    </w:p>
    <w:p>
      <w:pPr>
        <w:spacing w:after="80"/>
        <w:jc w:val="center"/>
      </w:pPr>
      <w:r>
        <w:rPr>
          <w:rFonts w:ascii="Arial" w:cs="Arial" w:eastAsia="Arial" w:hAnsi="Arial"/>
          <w:color w:val="5D6D7E"/>
          <w:sz w:val="24"/>
          <w:szCs w:val="24"/>
        </w:rPr>
        <w:t xml:space="preserve">Ceded-Re Platform | iHub Integration</w:t>
      </w:r>
    </w:p>
    <w:p>
      <w:pPr>
        <w:spacing w:after="80"/>
        <w:jc w:val="center"/>
      </w:pPr>
      <w:r>
        <w:rPr>
          <w:rFonts w:ascii="Arial" w:cs="Arial" w:eastAsia="Arial" w:hAnsi="Arial"/>
          <w:color w:val="5D6D7E"/>
          <w:sz w:val="24"/>
          <w:szCs w:val="24"/>
        </w:rPr>
        <w:t xml:space="preserve">MRSGt Broker Portal</w:t>
      </w:r>
    </w:p>
    <w:p>
      <w:pPr>
        <w:spacing w:after="80"/>
        <w:jc w:val="center"/>
      </w:pPr>
      <w:r>
        <w:rPr>
          <w:rFonts w:ascii="Arial" w:cs="Arial" w:eastAsia="Arial" w:hAnsi="Arial"/>
          <w:color w:val="5D6D7E"/>
          <w:sz w:val="24"/>
          <w:szCs w:val="24"/>
        </w:rPr>
        <w:t xml:space="preserve">Version 1.0 | April 2026</w:t>
      </w:r>
    </w:p>
    <w:p>
      <w:pPr>
        <w:spacing w:after="80"/>
        <w:jc w:val="center"/>
      </w:pPr>
      <w:r>
        <w:rPr>
          <w:rFonts w:ascii="Arial" w:cs="Arial" w:eastAsia="Arial" w:hAnsi="Arial"/>
          <w:b/>
          <w:bCs/>
          <w:color w:val="E74C3C"/>
          <w:sz w:val="24"/>
          <w:szCs w:val="24"/>
        </w:rPr>
        <w:t xml:space="preserve">Status: Draft for SA Forum Review</w:t>
      </w:r>
    </w:p>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Risk Clearance API — Common Domain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Ceded-Re Engineering Team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Reviewed By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 Architect Forum</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API Endpoint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/risks</w:t>
            </w:r>
          </w:p>
        </w:tc>
      </w:tr>
    </w:tbl>
    <w:p>
      <w:pPr>
        <w:spacing w:after="60"/>
      </w:pPr>
    </w:p>
    <w:p>
      <w:pPr>
        <w:pStyle w:val="Heading1"/>
        <w:spacing w:after="150" w:before="300"/>
      </w:pPr>
      <w:r>
        <w:rPr>
          <w:b/>
          <w:bCs/>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Apr 2026</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Tech Lead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Initial common domain model design</w:t>
            </w:r>
          </w:p>
        </w:tc>
      </w:tr>
    </w:tbl>
    <w:p>
      <w:pPr>
        <w:spacing w:after="60"/>
      </w:pPr>
    </w:p>
    <w:p>
      <w:r>
        <w:br w:type="page"/>
      </w:r>
    </w:p>
    <w:p>
      <w:pPr>
        <w:pStyle w:val="Heading1"/>
        <w:spacing w:after="150" w:before="300"/>
      </w:pPr>
      <w:r>
        <w:rPr>
          <w:b/>
          <w:bCs/>
        </w:rPr>
        <w:t xml:space="preserve">1. Executive Summary</w:t>
      </w:r>
    </w:p>
    <w:p>
      <w:pPr>
        <w:spacing w:after="120"/>
      </w:pPr>
      <w:r>
        <w:rPr>
          <w:rFonts w:ascii="Arial" w:cs="Arial" w:eastAsia="Arial" w:hAnsi="Arial"/>
          <w:sz w:val="22"/>
          <w:szCs w:val="22"/>
        </w:rPr>
        <w:t xml:space="preserve">This document defines the Common Domain Model for the Risk Clearance API within the Ceded-Re platform. The model provides a single, reusable request contract that any caller (Rx0, BrokerPortal, future MGA systems, external cedants) can use to search for risk data across any provider, regardless of whether the provider is an internal database or an external REST API.</w:t>
      </w:r>
    </w:p>
    <w:p>
      <w:pPr>
        <w:spacing w:after="60"/>
      </w:pPr>
    </w:p>
    <w:p>
      <w:pPr>
        <w:pStyle w:val="Heading2"/>
        <w:spacing w:after="150" w:before="300"/>
      </w:pPr>
      <w:r>
        <w:rPr>
          <w:b/>
          <w:bCs/>
        </w:rPr>
        <w:t xml:space="preserve">1.1 Design Principles</w:t>
      </w:r>
    </w:p>
    <w:p>
      <w:pPr>
        <w:pStyle w:val="ListParagraph"/>
        <w:numPr>
          <w:ilvl w:val="0"/>
          <w:numId w:val="2"/>
        </w:numPr>
        <w:spacing w:after="80"/>
      </w:pPr>
      <w:r>
        <w:rPr>
          <w:rFonts w:ascii="Arial" w:cs="Arial" w:eastAsia="Arial" w:hAnsi="Arial"/>
          <w:b/>
          <w:bCs/>
          <w:sz w:val="22"/>
          <w:szCs w:val="22"/>
        </w:rPr>
        <w:t xml:space="preserve">Separation of concerns: </w:t>
      </w:r>
      <w:r>
        <w:rPr>
          <w:rFonts w:ascii="Arial" w:cs="Arial" w:eastAsia="Arial" w:hAnsi="Arial"/>
          <w:sz w:val="22"/>
          <w:szCs w:val="22"/>
        </w:rPr>
        <w:t xml:space="preserve">The request body contains only domain language (insured, coverage, transactions). Infrastructure concerns (correlation, routing, authentication) are handled via HTTP headers and server-side configuration.</w:t>
      </w:r>
    </w:p>
    <w:p>
      <w:pPr>
        <w:pStyle w:val="ListParagraph"/>
        <w:numPr>
          <w:ilvl w:val="0"/>
          <w:numId w:val="2"/>
        </w:numPr>
        <w:spacing w:after="80"/>
      </w:pPr>
      <w:r>
        <w:rPr>
          <w:rFonts w:ascii="Arial" w:cs="Arial" w:eastAsia="Arial" w:hAnsi="Arial"/>
          <w:b/>
          <w:bCs/>
          <w:sz w:val="22"/>
          <w:szCs w:val="22"/>
        </w:rPr>
        <w:t xml:space="preserve">Provider agnostic: </w:t>
      </w:r>
      <w:r>
        <w:rPr>
          <w:rFonts w:ascii="Arial" w:cs="Arial" w:eastAsia="Arial" w:hAnsi="Arial"/>
          <w:sz w:val="22"/>
          <w:szCs w:val="22"/>
        </w:rPr>
        <w:t xml:space="preserve">The request shape is identical whether the underlying provider is Databricks (internal), a Lloyd's REST API (external), or any future data source. The caller never knows or cares about the implementation.</w:t>
      </w:r>
    </w:p>
    <w:p>
      <w:pPr>
        <w:pStyle w:val="ListParagraph"/>
        <w:numPr>
          <w:ilvl w:val="0"/>
          <w:numId w:val="2"/>
        </w:numPr>
        <w:spacing w:after="80"/>
      </w:pPr>
      <w:r>
        <w:rPr>
          <w:rFonts w:ascii="Arial" w:cs="Arial" w:eastAsia="Arial" w:hAnsi="Arial"/>
          <w:b/>
          <w:bCs/>
          <w:sz w:val="22"/>
          <w:szCs w:val="22"/>
        </w:rPr>
        <w:t xml:space="preserve">Caller agnostic: </w:t>
      </w:r>
      <w:r>
        <w:rPr>
          <w:rFonts w:ascii="Arial" w:cs="Arial" w:eastAsia="Arial" w:hAnsi="Arial"/>
          <w:sz w:val="22"/>
          <w:szCs w:val="22"/>
        </w:rPr>
        <w:t xml:space="preserve">Any source system sends the exact same body shape. Identity is conveyed via headers, not embedded in the domain payload.</w:t>
      </w:r>
    </w:p>
    <w:p>
      <w:pPr>
        <w:pStyle w:val="ListParagraph"/>
        <w:numPr>
          <w:ilvl w:val="0"/>
          <w:numId w:val="2"/>
        </w:numPr>
        <w:spacing w:after="80"/>
      </w:pPr>
      <w:r>
        <w:rPr>
          <w:rFonts w:ascii="Arial" w:cs="Arial" w:eastAsia="Arial" w:hAnsi="Arial"/>
          <w:b/>
          <w:bCs/>
          <w:sz w:val="22"/>
          <w:szCs w:val="22"/>
        </w:rPr>
        <w:t xml:space="preserve">Extensible without breaking: </w:t>
      </w:r>
      <w:r>
        <w:rPr>
          <w:rFonts w:ascii="Arial" w:cs="Arial" w:eastAsia="Arial" w:hAnsi="Arial"/>
          <w:sz w:val="22"/>
          <w:szCs w:val="22"/>
        </w:rPr>
        <w:t xml:space="preserve">New transaction types, new providers, and new callers can be added without any structural change to the request contract.</w:t>
      </w:r>
    </w:p>
    <w:p>
      <w:pPr>
        <w:spacing w:after="60"/>
      </w:pPr>
    </w:p>
    <w:p>
      <w:pPr>
        <w:pStyle w:val="Heading2"/>
        <w:spacing w:after="150" w:before="300"/>
      </w:pPr>
      <w:r>
        <w:rPr>
          <w:b/>
          <w:bCs/>
        </w:rPr>
        <w:t xml:space="preserve">1.2 Problem Statement</w:t>
      </w:r>
    </w:p>
    <w:p>
      <w:pPr>
        <w:spacing w:after="120"/>
      </w:pPr>
      <w:r>
        <w:rPr>
          <w:rFonts w:ascii="Arial" w:cs="Arial" w:eastAsia="Arial" w:hAnsi="Arial"/>
          <w:sz w:val="22"/>
          <w:szCs w:val="22"/>
        </w:rPr>
        <w:t xml:space="preserve">The current Risk Clearance payload repeats the full provider and settings block for every transaction type (Policy, Quote, Submission), resulting in approximately 95 lines of JSON with significant duplication. Adding a new transaction type requires copy-pasting an entire block. The provider routing, metadata, and domain search criteria are all mixed together in the request body, making the contract tightly coupled to the current implementation.</w:t>
      </w:r>
    </w:p>
    <w:p>
      <w:pPr>
        <w:pBdr>
          <w:bottom w:val="single" w:color="1B4F72" w:sz="4" w:space="1"/>
        </w:pBdr>
        <w:spacing w:after="200" w:before="200"/>
      </w:pPr>
    </w:p>
    <w:p>
      <w:pPr>
        <w:pStyle w:val="Heading1"/>
        <w:spacing w:after="150" w:before="300"/>
      </w:pPr>
      <w:r>
        <w:rPr>
          <w:b/>
          <w:bCs/>
        </w:rPr>
        <w:t xml:space="preserve">2. API Contract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Endpoint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POST /risks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URL (Prod)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https://api.mrsgm.com/ceded-re/v1</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Base URL (UAT)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https://api-uat.mrsgm.com/ceded-re/v1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Bearer (Azure AD / B2C) + APIM Subscription Key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Content-Type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Pattern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via Durable Functions (202 Accepted + polling)</w:t>
            </w:r>
          </w:p>
        </w:tc>
      </w:tr>
    </w:tbl>
    <w:p>
      <w:pPr>
        <w:spacing w:after="60"/>
      </w:pPr>
    </w:p>
    <w:p>
      <w:pPr>
        <w:pStyle w:val="Heading2"/>
        <w:spacing w:after="150" w:before="300"/>
      </w:pPr>
      <w:r>
        <w:rPr>
          <w:b/>
          <w:bCs/>
        </w:rPr>
        <w:t xml:space="preserve">2.1 HTTP Headers (Envelope + Routing)</w:t>
      </w:r>
    </w:p>
    <w:p>
      <w:pPr>
        <w:spacing w:after="120"/>
      </w:pPr>
      <w:r>
        <w:rPr>
          <w:rFonts w:ascii="Arial" w:cs="Arial" w:eastAsia="Arial" w:hAnsi="Arial"/>
          <w:sz w:val="22"/>
          <w:szCs w:val="22"/>
        </w:rPr>
        <w:t xml:space="preserve">Infrastructure concerns are separated from the domain model and conveyed via HTTP headers: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Bearer JWT token (Azure AD or B2C)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Ocp-Apim-Subscription-Key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 subscription key for Risk Clearance API product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X-Correlation-Id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request identifier for distributed tracing (e.g. RC-20260317-000123)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X-Source-System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Identifies the calling system (e.g. Rx0, BrokerPortal)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X-Source-System-Reference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caller's own reference for this request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X-Provider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data provider to search (e.g. GSIDataPlatform, LloydsMDR)</w:t>
            </w:r>
          </w:p>
        </w:tc>
      </w:tr>
    </w:tbl>
    <w:p>
      <w:pPr>
        <w:spacing w:after="60"/>
      </w:pPr>
    </w:p>
    <w:p>
      <w:pPr>
        <w:spacing w:after="120"/>
      </w:pPr>
      <w:r>
        <w:rPr>
          <w:rFonts w:ascii="Arial" w:cs="Arial" w:eastAsia="Arial" w:hAnsi="Arial"/>
          <w:sz w:val="22"/>
          <w:szCs w:val="22"/>
        </w:rPr>
        <w:t xml:space="preserve">By moving these to headers, the request body becomes a pure domain model that any caller can reuse without modification.</w:t>
      </w:r>
    </w:p>
    <w:p>
      <w:r>
        <w:br w:type="page"/>
      </w:r>
    </w:p>
    <w:p>
      <w:pPr>
        <w:pStyle w:val="Heading1"/>
        <w:spacing w:after="150" w:before="300"/>
      </w:pPr>
      <w:r>
        <w:rPr>
          <w:b/>
          <w:bCs/>
        </w:rPr>
        <w:t xml:space="preserve">3. Common Domain Model (Request Body)</w:t>
      </w:r>
    </w:p>
    <w:p>
      <w:pPr>
        <w:spacing w:after="120"/>
      </w:pPr>
      <w:r>
        <w:rPr>
          <w:rFonts w:ascii="Arial" w:cs="Arial" w:eastAsia="Arial" w:hAnsi="Arial"/>
          <w:sz w:val="22"/>
          <w:szCs w:val="22"/>
        </w:rPr>
        <w:t xml:space="preserve">The request body contains only domain-level search criteria. It has three sections: Insured Details (who we are searching for), Coverage Details (what class of business), and Transactions (what types to search and with what settings).</w:t>
      </w:r>
    </w:p>
    <w:p>
      <w:pPr>
        <w:spacing w:after="60"/>
      </w:pPr>
    </w:p>
    <w:p>
      <w:pPr>
        <w:pStyle w:val="Heading2"/>
        <w:spacing w:after="150" w:before="300"/>
      </w:pPr>
      <w:r>
        <w:rPr>
          <w:b/>
          <w:bCs/>
        </w:rPr>
        <w:t xml:space="preserve">3.1 Full Request Example</w:t>
      </w:r>
    </w:p>
    <w:p>
      <w:pPr>
        <w:spacing w:after="60"/>
      </w:pPr>
    </w:p>
    <w:p>
      <w:pPr>
        <w:spacing w:after="120"/>
        <w:rPr>
          <w:b/>
          <w:bCs/>
          <w:color w:val="5D6D7E"/>
        </w:rPr>
      </w:pPr>
      <w:r>
        <w:rPr>
          <w:rFonts w:ascii="Arial" w:cs="Arial" w:eastAsia="Arial" w:hAnsi="Arial"/>
          <w:b/>
          <w:bCs/>
          <w:color w:val="5D6D7E"/>
          <w:sz w:val="22"/>
          <w:szCs w:val="22"/>
        </w:rPr>
        <w:t xml:space="preserve">Headers:</w:t>
      </w:r>
    </w:p>
    <w:p>
      <w:pPr>
        <w:spacing w:after="0"/>
      </w:pPr>
      <w:r>
        <w:rPr>
          <w:rFonts w:ascii="Consolas" w:cs="Consolas" w:eastAsia="Consolas" w:hAnsi="Consolas"/>
          <w:color w:val="2C3E50"/>
          <w:sz w:val="18"/>
          <w:szCs w:val="18"/>
        </w:rPr>
        <w:t xml:space="preserve">POST /risks HTTP/1.1</w:t>
      </w:r>
    </w:p>
    <w:p>
      <w:pPr>
        <w:spacing w:after="0"/>
      </w:pPr>
      <w:r>
        <w:rPr>
          <w:rFonts w:ascii="Consolas" w:cs="Consolas" w:eastAsia="Consolas" w:hAnsi="Consolas"/>
          <w:color w:val="2C3E50"/>
          <w:sz w:val="18"/>
          <w:szCs w:val="18"/>
        </w:rPr>
        <w:t xml:space="preserve">Host: api.mrsgm.com/ceded-re/v1</w:t>
      </w:r>
    </w:p>
    <w:p>
      <w:pPr>
        <w:spacing w:after="0"/>
      </w:pPr>
      <w:r>
        <w:rPr>
          <w:rFonts w:ascii="Consolas" w:cs="Consolas" w:eastAsia="Consolas" w:hAnsi="Consolas"/>
          <w:color w:val="2C3E50"/>
          <w:sz w:val="18"/>
          <w:szCs w:val="18"/>
        </w:rPr>
        <w:t xml:space="preserve">Authorization: Bearer eyJ...</w:t>
      </w:r>
    </w:p>
    <w:p>
      <w:pPr>
        <w:spacing w:after="0"/>
      </w:pPr>
      <w:r>
        <w:rPr>
          <w:rFonts w:ascii="Consolas" w:cs="Consolas" w:eastAsia="Consolas" w:hAnsi="Consolas"/>
          <w:color w:val="2C3E50"/>
          <w:sz w:val="18"/>
          <w:szCs w:val="18"/>
        </w:rPr>
        <w:t xml:space="preserve">Ocp-Apim-Subscription-Key: abc123</w:t>
      </w:r>
    </w:p>
    <w:p>
      <w:pPr>
        <w:spacing w:after="0"/>
      </w:pPr>
      <w:r>
        <w:rPr>
          <w:rFonts w:ascii="Consolas" w:cs="Consolas" w:eastAsia="Consolas" w:hAnsi="Consolas"/>
          <w:color w:val="2C3E50"/>
          <w:sz w:val="18"/>
          <w:szCs w:val="18"/>
        </w:rPr>
        <w:t xml:space="preserve">X-Correlation-Id: RC-20260317-000123</w:t>
      </w:r>
    </w:p>
    <w:p>
      <w:pPr>
        <w:spacing w:after="0"/>
      </w:pPr>
      <w:r>
        <w:rPr>
          <w:rFonts w:ascii="Consolas" w:cs="Consolas" w:eastAsia="Consolas" w:hAnsi="Consolas"/>
          <w:color w:val="2C3E50"/>
          <w:sz w:val="18"/>
          <w:szCs w:val="18"/>
        </w:rPr>
        <w:t xml:space="preserve">X-Source-System: Rx0</w:t>
      </w:r>
    </w:p>
    <w:p>
      <w:pPr>
        <w:spacing w:after="0"/>
      </w:pPr>
      <w:r>
        <w:rPr>
          <w:rFonts w:ascii="Consolas" w:cs="Consolas" w:eastAsia="Consolas" w:hAnsi="Consolas"/>
          <w:color w:val="2C3E50"/>
          <w:sz w:val="18"/>
          <w:szCs w:val="18"/>
        </w:rPr>
        <w:t xml:space="preserve">X-Source-System-Reference: RX0-REQ-0001</w:t>
      </w:r>
    </w:p>
    <w:p>
      <w:pPr>
        <w:spacing w:after="0"/>
      </w:pPr>
      <w:r>
        <w:rPr>
          <w:rFonts w:ascii="Consolas" w:cs="Consolas" w:eastAsia="Consolas" w:hAnsi="Consolas"/>
          <w:color w:val="2C3E50"/>
          <w:sz w:val="18"/>
          <w:szCs w:val="18"/>
        </w:rPr>
        <w:t xml:space="preserve">X-Provider: GSIDataPlatform</w:t>
      </w:r>
    </w:p>
    <w:p>
      <w:pPr>
        <w:spacing w:after="0"/>
      </w:pPr>
      <w:r>
        <w:rPr>
          <w:rFonts w:ascii="Consolas" w:cs="Consolas" w:eastAsia="Consolas" w:hAnsi="Consolas"/>
          <w:color w:val="2C3E50"/>
          <w:sz w:val="18"/>
          <w:szCs w:val="18"/>
        </w:rPr>
        <w:t xml:space="preserve">Content-Type: application/json</w:t>
      </w:r>
    </w:p>
    <w:p>
      <w:pPr>
        <w:spacing w:after="60"/>
      </w:pPr>
    </w:p>
    <w:p>
      <w:pPr>
        <w:spacing w:after="120"/>
        <w:rPr>
          <w:b/>
          <w:bCs/>
          <w:color w:val="5D6D7E"/>
        </w:rPr>
      </w:pPr>
      <w:r>
        <w:rPr>
          <w:rFonts w:ascii="Arial" w:cs="Arial" w:eastAsia="Arial" w:hAnsi="Arial"/>
          <w:b/>
          <w:bCs/>
          <w:color w:val="5D6D7E"/>
          <w:sz w:val="22"/>
          <w:szCs w:val="22"/>
        </w:rPr>
        <w:t xml:space="preserve">Body (Common Domain Model):</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"insuredName": "CocaCola Inc",</w:t>
      </w:r>
    </w:p>
    <w:p>
      <w:pPr>
        <w:spacing w:after="0"/>
      </w:pPr>
      <w:r>
        <w:rPr>
          <w:rFonts w:ascii="Consolas" w:cs="Consolas" w:eastAsia="Consolas" w:hAnsi="Consolas"/>
          <w:color w:val="2C3E50"/>
          <w:sz w:val="18"/>
          <w:szCs w:val="18"/>
        </w:rPr>
        <w:t xml:space="preserve">      "dbaAka": "GTC Logistics",</w:t>
      </w:r>
    </w:p>
    <w:p>
      <w:pPr>
        <w:spacing w:after="0"/>
      </w:pPr>
      <w:r>
        <w:rPr>
          <w:rFonts w:ascii="Consolas" w:cs="Consolas" w:eastAsia="Consolas" w:hAnsi="Consolas"/>
          <w:color w:val="2C3E50"/>
          <w:sz w:val="18"/>
          <w:szCs w:val="18"/>
        </w:rPr>
        <w:t xml:space="preserve">      "uniqueId": "123456789",</w:t>
      </w:r>
    </w:p>
    <w:p>
      <w:pPr>
        <w:spacing w:after="0"/>
      </w:pPr>
      <w:r>
        <w:rPr>
          <w:rFonts w:ascii="Consolas" w:cs="Consolas" w:eastAsia="Consolas" w:hAnsi="Consolas"/>
          <w:color w:val="2C3E50"/>
          <w:sz w:val="18"/>
          <w:szCs w:val="18"/>
        </w:rPr>
        <w:t xml:space="preserve">      "countryCode": "US"</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r>
    </w:p>
    <w:p>
      <w:pPr>
        <w:spacing w:after="0"/>
      </w:pPr>
      <w:r>
        <w:rPr>
          <w:rFonts w:ascii="Consolas" w:cs="Consolas" w:eastAsia="Consolas" w:hAnsi="Consolas"/>
          <w:color w:val="2C3E50"/>
          <w:sz w:val="18"/>
          <w:szCs w:val="18"/>
        </w:rPr>
        <w:t xml:space="preserve">  "coverageDetails": {</w:t>
      </w:r>
    </w:p>
    <w:p>
      <w:pPr>
        <w:spacing w:after="0"/>
      </w:pPr>
      <w:r>
        <w:rPr>
          <w:rFonts w:ascii="Consolas" w:cs="Consolas" w:eastAsia="Consolas" w:hAnsi="Consolas"/>
          <w:color w:val="2C3E50"/>
          <w:sz w:val="18"/>
          <w:szCs w:val="18"/>
        </w:rPr>
        <w:t xml:space="preserve">    "classOfBusiness": ["PVT"]</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r>
    </w:p>
    <w:p>
      <w:pPr>
        <w:spacing w:after="0"/>
      </w:pPr>
      <w:r>
        <w:rPr>
          <w:rFonts w:ascii="Consolas" w:cs="Consolas" w:eastAsia="Consolas" w:hAnsi="Consolas"/>
          <w:color w:val="2C3E50"/>
          <w:sz w:val="18"/>
          <w:szCs w:val="18"/>
        </w:rPr>
        <w:t xml:space="preserve">  "transactions":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"type": "Policy",</w:t>
      </w:r>
    </w:p>
    <w:p>
      <w:pPr>
        <w:spacing w:after="0"/>
      </w:pPr>
      <w:r>
        <w:rPr>
          <w:rFonts w:ascii="Consolas" w:cs="Consolas" w:eastAsia="Consolas" w:hAnsi="Consolas"/>
          <w:color w:val="2C3E50"/>
          <w:sz w:val="18"/>
          <w:szCs w:val="18"/>
        </w:rPr>
        <w:t xml:space="preserve">      "confidenceScore": 50,</w:t>
      </w:r>
    </w:p>
    <w:p>
      <w:pPr>
        <w:spacing w:after="0"/>
      </w:pPr>
      <w:r>
        <w:rPr>
          <w:rFonts w:ascii="Consolas" w:cs="Consolas" w:eastAsia="Consolas" w:hAnsi="Consolas"/>
          <w:color w:val="2C3E50"/>
          <w:sz w:val="18"/>
          <w:szCs w:val="18"/>
        </w:rPr>
        <w:t xml:space="preserve">      "lookBackMonths": 6,</w:t>
      </w:r>
    </w:p>
    <w:p>
      <w:pPr>
        <w:spacing w:after="0"/>
      </w:pPr>
      <w:r>
        <w:rPr>
          <w:rFonts w:ascii="Consolas" w:cs="Consolas" w:eastAsia="Consolas" w:hAnsi="Consolas"/>
          <w:color w:val="2C3E50"/>
          <w:sz w:val="18"/>
          <w:szCs w:val="18"/>
        </w:rPr>
        <w:t xml:space="preserve">      "numberOfResults": 10,</w:t>
      </w:r>
    </w:p>
    <w:p>
      <w:pPr>
        <w:spacing w:after="0"/>
      </w:pPr>
      <w:r>
        <w:rPr>
          <w:rFonts w:ascii="Consolas" w:cs="Consolas" w:eastAsia="Consolas" w:hAnsi="Consolas"/>
          <w:color w:val="2C3E50"/>
          <w:sz w:val="18"/>
          <w:szCs w:val="18"/>
        </w:rPr>
        <w:t xml:space="preserve">      "statusFilter": ["Bound", "Cancelled"]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"type": "Quote",</w:t>
      </w:r>
    </w:p>
    <w:p>
      <w:pPr>
        <w:spacing w:after="0"/>
      </w:pPr>
      <w:r>
        <w:rPr>
          <w:rFonts w:ascii="Consolas" w:cs="Consolas" w:eastAsia="Consolas" w:hAnsi="Consolas"/>
          <w:color w:val="2C3E50"/>
          <w:sz w:val="18"/>
          <w:szCs w:val="18"/>
        </w:rPr>
        <w:t xml:space="preserve">      "confidenceScore": 60,</w:t>
      </w:r>
    </w:p>
    <w:p>
      <w:pPr>
        <w:spacing w:after="0"/>
      </w:pPr>
      <w:r>
        <w:rPr>
          <w:rFonts w:ascii="Consolas" w:cs="Consolas" w:eastAsia="Consolas" w:hAnsi="Consolas"/>
          <w:color w:val="2C3E50"/>
          <w:sz w:val="18"/>
          <w:szCs w:val="18"/>
        </w:rPr>
        <w:t xml:space="preserve">      "lookBackMonths": 12,</w:t>
      </w:r>
    </w:p>
    <w:p>
      <w:pPr>
        <w:spacing w:after="0"/>
      </w:pPr>
      <w:r>
        <w:rPr>
          <w:rFonts w:ascii="Consolas" w:cs="Consolas" w:eastAsia="Consolas" w:hAnsi="Consolas"/>
          <w:color w:val="2C3E50"/>
          <w:sz w:val="18"/>
          <w:szCs w:val="18"/>
        </w:rPr>
        <w:t xml:space="preserve">      "numberOfResults": 5,</w:t>
      </w:r>
    </w:p>
    <w:p>
      <w:pPr>
        <w:spacing w:after="0"/>
      </w:pPr>
      <w:r>
        <w:rPr>
          <w:rFonts w:ascii="Consolas" w:cs="Consolas" w:eastAsia="Consolas" w:hAnsi="Consolas"/>
          <w:color w:val="2C3E50"/>
          <w:sz w:val="18"/>
          <w:szCs w:val="18"/>
        </w:rPr>
        <w:t xml:space="preserve">      "statusFilter": ["Quoted", "Referred"]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3.2 Schema Definition</w:t>
      </w:r>
    </w:p>
    <w:p>
      <w:pPr>
        <w:spacing w:after="60"/>
      </w:pPr>
    </w:p>
    <w:p>
      <w:pPr>
        <w:pStyle w:val="Heading3"/>
        <w:spacing w:after="150" w:before="300"/>
      </w:pPr>
      <w:r>
        <w:rPr>
          <w:b/>
          <w:bCs/>
        </w:rPr>
        <w:t xml:space="preserve">3.2.1 insuredDetails (array, required, min: 1)</w:t>
      </w:r>
    </w:p>
    <w:p>
      <w:pPr>
        <w:spacing w:after="120"/>
      </w:pPr>
      <w:r>
        <w:rPr>
          <w:rFonts w:ascii="Arial" w:cs="Arial" w:eastAsia="Arial" w:hAnsi="Arial"/>
          <w:sz w:val="22"/>
          <w:szCs w:val="22"/>
        </w:rPr>
        <w:t xml:space="preserve">One or more insured entities to search for. Multiple entries enable searching across related entities such as a parent company and its subsidiaries.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insuredName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Legal name of the insured entity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dbaAka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Trading name or also-known-as name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uniqueId</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Unique identifier (company reg number, DUNS,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3166-1 alpha-2 country code (e.g. US, GB, IN)</w:t>
            </w:r>
          </w:p>
        </w:tc>
      </w:tr>
    </w:tbl>
    <w:p>
      <w:pPr>
        <w:spacing w:after="60"/>
      </w:pPr>
    </w:p>
    <w:p>
      <w:pPr>
        <w:pStyle w:val="Heading3"/>
        <w:spacing w:after="150" w:before="300"/>
      </w:pPr>
      <w:r>
        <w:rPr>
          <w:b/>
          <w:bCs/>
        </w:rPr>
        <w:t xml:space="preserve">3.2.2 coverageDetails (object, required)</w:t>
      </w:r>
    </w:p>
    <w:p>
      <w:pPr>
        <w:spacing w:after="120"/>
      </w:pPr>
      <w:r>
        <w:rPr>
          <w:rFonts w:ascii="Arial" w:cs="Arial" w:eastAsia="Arial" w:hAnsi="Arial"/>
          <w:sz w:val="22"/>
          <w:szCs w:val="22"/>
        </w:rPr>
        <w:t xml:space="preserve">Coverage information to narrow the risk search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classOfBusiness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One or more classes of business to search within</w:t>
            </w:r>
          </w:p>
        </w:tc>
      </w:tr>
    </w:tbl>
    <w:p>
      <w:pPr>
        <w:spacing w:after="60"/>
      </w:pPr>
    </w:p>
    <w:p>
      <w:pPr>
        <w:pStyle w:val="Heading3"/>
        <w:spacing w:after="150" w:before="300"/>
      </w:pPr>
      <w:r>
        <w:rPr>
          <w:b/>
          <w:bCs/>
        </w:rPr>
        <w:t xml:space="preserve">3.2.3 transactions (array, required, min: 1)</w:t>
      </w:r>
    </w:p>
    <w:p>
      <w:pPr>
        <w:spacing w:after="120"/>
      </w:pPr>
      <w:r>
        <w:rPr>
          <w:rFonts w:ascii="Arial" w:cs="Arial" w:eastAsia="Arial" w:hAnsi="Arial"/>
          <w:sz w:val="22"/>
          <w:szCs w:val="22"/>
        </w:rPr>
        <w:t xml:space="preserve">Each transaction type carries its own search settings because different transaction types may require different lookback periods, confidence thresholds, result limits, and status filters.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type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enum</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type: Policy, Quote, Submission, Endorsement, Renewal, Claim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confidence threshold (0-100). Only matches at or above are returned.</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lookBackMonths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How many months back to search from the request timestamp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numberOfResults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number of results to return for this transaction type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statusFilter</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Only return transactions with these statuses</w:t>
            </w:r>
          </w:p>
        </w:tc>
      </w:tr>
    </w:tbl>
    <w:p>
      <w:r>
        <w:br w:type="page"/>
      </w:r>
    </w:p>
    <w:p>
      <w:pPr>
        <w:pStyle w:val="Heading1"/>
        <w:spacing w:after="150" w:before="300"/>
      </w:pPr>
      <w:r>
        <w:rPr>
          <w:b/>
          <w:bCs/>
        </w:rPr>
        <w:t xml:space="preserve">4. Enum Definitions</w:t>
      </w:r>
    </w:p>
    <w:p>
      <w:pPr>
        <w:spacing w:after="120"/>
      </w:pPr>
      <w:r>
        <w:rPr>
          <w:rFonts w:ascii="Arial" w:cs="Arial" w:eastAsia="Arial" w:hAnsi="Arial"/>
          <w:sz w:val="22"/>
          <w:szCs w:val="22"/>
        </w:rPr>
        <w:t xml:space="preserve">All enums are serialised as strings in the API contract. The following tables define the valid values for each enum.</w:t>
      </w:r>
    </w:p>
    <w:p>
      <w:pPr>
        <w:spacing w:after="60"/>
      </w:pPr>
    </w:p>
    <w:p>
      <w:pPr>
        <w:pStyle w:val="Heading2"/>
        <w:spacing w:after="150" w:before="300"/>
      </w:pPr>
      <w:r>
        <w:rPr>
          <w:b/>
          <w:bCs/>
        </w:rPr>
        <w:t xml:space="preserve">4.1 TransactionType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Bound policy records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Quoted but not yet bound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Submission</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Submitted risk proposals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Endorsement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Amendments to existing policies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Renewal</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Renewal of expiring policies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 against policies</w:t>
            </w:r>
          </w:p>
        </w:tc>
      </w:tr>
    </w:tbl>
    <w:p>
      <w:pPr>
        <w:spacing w:after="60"/>
      </w:pPr>
    </w:p>
    <w:p>
      <w:pPr>
        <w:pStyle w:val="Heading2"/>
        <w:spacing w:after="150" w:before="300"/>
      </w:pPr>
      <w:r>
        <w:rPr>
          <w:b/>
          <w:bCs/>
        </w:rPr>
        <w:t xml:space="preserve">4.2 TransactionStatus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Bound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 is active and bound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has been cancelled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Quoted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Quote has been issued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 referred for review</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Declined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Submission or quote declined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NotTakenUp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not converted to policy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Expired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Policy or quote has expired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currently in force</w:t>
            </w:r>
          </w:p>
        </w:tc>
      </w:tr>
    </w:tbl>
    <w:p>
      <w:pPr>
        <w:spacing w:after="60"/>
      </w:pPr>
    </w:p>
    <w:p>
      <w:pPr>
        <w:pStyle w:val="Heading2"/>
        <w:spacing w:after="150" w:before="300"/>
      </w:pPr>
      <w:r>
        <w:rPr>
          <w:b/>
          <w:bCs/>
        </w:rPr>
        <w:t xml:space="preserve">4.3 SourceSystem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Rx0</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Rx0 underwriting 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BrokerPortal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MRSGt Broker Portal</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Underwriter</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Direct underwriter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third-party system</w:t>
            </w:r>
          </w:p>
        </w:tc>
      </w:tr>
    </w:tbl>
    <w:p>
      <w:pPr>
        <w:spacing w:after="60"/>
      </w:pPr>
    </w:p>
    <w:p>
      <w:pPr>
        <w:pStyle w:val="Heading2"/>
        <w:spacing w:after="150" w:before="300"/>
      </w:pPr>
      <w:r>
        <w:rPr>
          <w:b/>
          <w:bCs/>
        </w:rPr>
        <w:t xml:space="preserve">4.4 Provider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GSIDataPlatform</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data platform (Databricks). Sources: S2000, Majesco, Rx0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LloydsMDR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Lloyd's Market Data Repository (External REST API). Sources: Eclipse, Genius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SwissReCatNet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Swiss Re catastrophe data (External API). Sources: CatNetAPI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BrokerDirect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Broker-provided data feed (Future)</w:t>
            </w:r>
          </w:p>
        </w:tc>
      </w:tr>
    </w:tbl>
    <w:p>
      <w:pPr>
        <w:spacing w:after="60"/>
      </w:pPr>
    </w:p>
    <w:p>
      <w:pPr>
        <w:pStyle w:val="Heading2"/>
        <w:spacing w:after="150" w:before="300"/>
      </w:pPr>
      <w:r>
        <w:rPr>
          <w:b/>
          <w:bCs/>
        </w:rPr>
        <w:t xml:space="preserve">4.5 ClassOfBusiness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PVT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Property various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PropertyDirect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property insurance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CasualtyTreaty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Casualty treaty reinsurance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MarineHull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hull insurance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AviationLiability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Aviation liability coverage</w:t>
            </w:r>
          </w:p>
        </w:tc>
      </w:tr>
    </w:tbl>
    <w:p>
      <w:r>
        <w:br w:type="page"/>
      </w:r>
    </w:p>
    <w:p>
      <w:pPr>
        <w:pStyle w:val="Heading1"/>
        <w:spacing w:after="150" w:before="300"/>
      </w:pPr>
      <w:r>
        <w:rPr>
          <w:b/>
          <w:bCs/>
        </w:rPr>
        <w:t xml:space="preserve">5. Separation of Concerns</w:t>
      </w:r>
    </w:p>
    <w:p>
      <w:pPr>
        <w:spacing w:after="120"/>
      </w:pPr>
      <w:r>
        <w:rPr>
          <w:rFonts w:ascii="Arial" w:cs="Arial" w:eastAsia="Arial" w:hAnsi="Arial"/>
          <w:sz w:val="22"/>
          <w:szCs w:val="22"/>
        </w:rPr>
        <w:t xml:space="preserve">The design deliberately separates the domain model from infrastructure and routing concerns. This table summarises what lives where and why: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Body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Insured details, coverage, transaction search criteria</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HTTP Body (JSON)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Pure domain language, reusable by any caller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ID, source system, source reference, provider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Envelope and routing are infrastructure, not domain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Server Config</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 type (Internal/API), base URLs, API paths, auth type, timeouts, retry policies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Azure App Configuration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Change without redeploying, ops-controlled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strings, client IDs, client secrets, API keys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Azure Key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in config files, never in requests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Adapter Code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 mapping (our format to their format), response mapping (their format to ours), auth token acquisition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Provider Adapter (.NET)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Translation logic, one adapter per provider</w:t>
            </w:r>
          </w:p>
        </w:tc>
      </w:tr>
    </w:tbl>
    <w:p>
      <w:pPr>
        <w:spacing w:after="60"/>
      </w:pPr>
    </w:p>
    <w:p>
      <w:pPr>
        <w:pStyle w:val="Heading2"/>
        <w:spacing w:after="150" w:before="300"/>
      </w:pPr>
      <w:r>
        <w:rPr>
          <w:b/>
          <w:bCs/>
        </w:rPr>
        <w:t xml:space="preserve">5.1 Why This Matters</w:t>
      </w:r>
    </w:p>
    <w:p>
      <w:pPr>
        <w:pStyle w:val="ListParagraph"/>
        <w:numPr>
          <w:ilvl w:val="0"/>
          <w:numId w:val="2"/>
        </w:numPr>
        <w:spacing w:after="80"/>
      </w:pPr>
      <w:r>
        <w:rPr>
          <w:rFonts w:ascii="Arial" w:cs="Arial" w:eastAsia="Arial" w:hAnsi="Arial"/>
          <w:b/>
          <w:bCs/>
          <w:sz w:val="22"/>
          <w:szCs w:val="22"/>
        </w:rPr>
        <w:t xml:space="preserve">Adding a new caller: </w:t>
      </w:r>
      <w:r>
        <w:rPr>
          <w:rFonts w:ascii="Arial" w:cs="Arial" w:eastAsia="Arial" w:hAnsi="Arial"/>
          <w:sz w:val="22"/>
          <w:szCs w:val="22"/>
        </w:rPr>
        <w:t xml:space="preserve">A new source system (e.g. an MGA portal) sends the exact same request body. Only the X-Source-System header changes.</w:t>
      </w:r>
    </w:p>
    <w:p>
      <w:pPr>
        <w:pStyle w:val="ListParagraph"/>
        <w:numPr>
          <w:ilvl w:val="0"/>
          <w:numId w:val="2"/>
        </w:numPr>
        <w:spacing w:after="80"/>
      </w:pPr>
      <w:r>
        <w:rPr>
          <w:rFonts w:ascii="Arial" w:cs="Arial" w:eastAsia="Arial" w:hAnsi="Arial"/>
          <w:b/>
          <w:bCs/>
          <w:sz w:val="22"/>
          <w:szCs w:val="22"/>
        </w:rPr>
        <w:t xml:space="preserve">Adding a new provider: </w:t>
      </w:r>
      <w:r>
        <w:rPr>
          <w:rFonts w:ascii="Arial" w:cs="Arial" w:eastAsia="Arial" w:hAnsi="Arial"/>
          <w:sz w:val="22"/>
          <w:szCs w:val="22"/>
        </w:rPr>
        <w:t xml:space="preserve">Add a config entry in Azure App Configuration, add secrets in Key Vault, write one adapter class. The request contract does not change.</w:t>
      </w:r>
    </w:p>
    <w:p>
      <w:pPr>
        <w:pStyle w:val="ListParagraph"/>
        <w:numPr>
          <w:ilvl w:val="0"/>
          <w:numId w:val="2"/>
        </w:numPr>
        <w:spacing w:after="80"/>
      </w:pPr>
      <w:r>
        <w:rPr>
          <w:rFonts w:ascii="Arial" w:cs="Arial" w:eastAsia="Arial" w:hAnsi="Arial"/>
          <w:b/>
          <w:bCs/>
          <w:sz w:val="22"/>
          <w:szCs w:val="22"/>
        </w:rPr>
        <w:t xml:space="preserve">Adding a new transaction type: </w:t>
      </w:r>
      <w:r>
        <w:rPr>
          <w:rFonts w:ascii="Arial" w:cs="Arial" w:eastAsia="Arial" w:hAnsi="Arial"/>
          <w:sz w:val="22"/>
          <w:szCs w:val="22"/>
        </w:rPr>
        <w:t xml:space="preserve">Add a value to the TransactionType enum. The request structure does not change.</w:t>
      </w:r>
    </w:p>
    <w:p>
      <w:pPr>
        <w:pStyle w:val="ListParagraph"/>
        <w:numPr>
          <w:ilvl w:val="0"/>
          <w:numId w:val="2"/>
        </w:numPr>
        <w:spacing w:after="80"/>
      </w:pPr>
      <w:r>
        <w:rPr>
          <w:rFonts w:ascii="Arial" w:cs="Arial" w:eastAsia="Arial" w:hAnsi="Arial"/>
          <w:b/>
          <w:bCs/>
          <w:sz w:val="22"/>
          <w:szCs w:val="22"/>
        </w:rPr>
        <w:t xml:space="preserve">Switching provider implementation: </w:t>
      </w:r>
      <w:r>
        <w:rPr>
          <w:rFonts w:ascii="Arial" w:cs="Arial" w:eastAsia="Arial" w:hAnsi="Arial"/>
          <w:sz w:val="22"/>
          <w:szCs w:val="22"/>
        </w:rPr>
        <w:t xml:space="preserve">If GSIDataPlatform moves from Databricks to a different backend, only the adapter and config change. Callers are unaffected.</w:t>
      </w:r>
    </w:p>
    <w:p>
      <w:r>
        <w:br w:type="page"/>
      </w:r>
    </w:p>
    <w:p>
      <w:pPr>
        <w:pStyle w:val="Heading1"/>
        <w:spacing w:after="150" w:before="300"/>
      </w:pPr>
      <w:r>
        <w:rPr>
          <w:b/>
          <w:bCs/>
        </w:rPr>
        <w:t xml:space="preserve">6. Provider Configuration (Server-Side)</w:t>
      </w:r>
    </w:p>
    <w:p>
      <w:pPr>
        <w:spacing w:after="120"/>
      </w:pPr>
      <w:r>
        <w:rPr>
          <w:rFonts w:ascii="Arial" w:cs="Arial" w:eastAsia="Arial" w:hAnsi="Arial"/>
          <w:sz w:val="22"/>
          <w:szCs w:val="22"/>
        </w:rPr>
        <w:t xml:space="preserve">The provider registry lives in Azure App Configuration. It maps each provider name to its connection details, authentication method, and resilience settings. Secrets are referenced from Azure Key Vault.</w:t>
      </w:r>
    </w:p>
    <w:p>
      <w:pPr>
        <w:spacing w:after="60"/>
      </w:pPr>
    </w:p>
    <w:p>
      <w:pPr>
        <w:pStyle w:val="Heading2"/>
        <w:spacing w:after="150" w:before="300"/>
      </w:pPr>
      <w:r>
        <w:rPr>
          <w:b/>
          <w:bCs/>
        </w:rPr>
        <w:t xml:space="preserve">6.1 Internal Provider (GSIDataPlatform)</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"GSIDataPlatform": {</w:t>
      </w:r>
    </w:p>
    <w:p>
      <w:pPr>
        <w:spacing w:after="0"/>
      </w:pPr>
      <w:r>
        <w:rPr>
          <w:rFonts w:ascii="Consolas" w:cs="Consolas" w:eastAsia="Consolas" w:hAnsi="Consolas"/>
          <w:color w:val="2C3E50"/>
          <w:sz w:val="18"/>
          <w:szCs w:val="18"/>
        </w:rPr>
        <w:t xml:space="preserve">    "type": "Internal",</w:t>
      </w:r>
    </w:p>
    <w:p>
      <w:pPr>
        <w:spacing w:after="0"/>
      </w:pPr>
      <w:r>
        <w:rPr>
          <w:rFonts w:ascii="Consolas" w:cs="Consolas" w:eastAsia="Consolas" w:hAnsi="Consolas"/>
          <w:color w:val="2C3E50"/>
          <w:sz w:val="18"/>
          <w:szCs w:val="18"/>
        </w:rPr>
        <w:t xml:space="preserve">    "endpoint": {</w:t>
      </w:r>
    </w:p>
    <w:p>
      <w:pPr>
        <w:spacing w:after="0"/>
      </w:pPr>
      <w:r>
        <w:rPr>
          <w:rFonts w:ascii="Consolas" w:cs="Consolas" w:eastAsia="Consolas" w:hAnsi="Consolas"/>
          <w:color w:val="2C3E50"/>
          <w:sz w:val="18"/>
          <w:szCs w:val="18"/>
        </w:rPr>
        <w:t xml:space="preserve">      "baseUrl": "https://databricks.mrsgm.internal/api/v1",</w:t>
      </w:r>
    </w:p>
    <w:p>
      <w:pPr>
        <w:spacing w:after="0"/>
      </w:pPr>
      <w:r>
        <w:rPr>
          <w:rFonts w:ascii="Consolas" w:cs="Consolas" w:eastAsia="Consolas" w:hAnsi="Consolas"/>
          <w:color w:val="2C3E50"/>
          <w:sz w:val="18"/>
          <w:szCs w:val="18"/>
        </w:rPr>
        <w:t xml:space="preserve">      "path": "/risks/search",</w:t>
      </w:r>
    </w:p>
    <w:p>
      <w:pPr>
        <w:spacing w:after="0"/>
      </w:pPr>
      <w:r>
        <w:rPr>
          <w:rFonts w:ascii="Consolas" w:cs="Consolas" w:eastAsia="Consolas" w:hAnsi="Consolas"/>
          <w:color w:val="2C3E50"/>
          <w:sz w:val="18"/>
          <w:szCs w:val="18"/>
        </w:rPr>
        <w:t xml:space="preserve">      "authType": "ManagedIdentity"</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"resilience": {</w:t>
      </w:r>
    </w:p>
    <w:p>
      <w:pPr>
        <w:spacing w:after="0"/>
      </w:pPr>
      <w:r>
        <w:rPr>
          <w:rFonts w:ascii="Consolas" w:cs="Consolas" w:eastAsia="Consolas" w:hAnsi="Consolas"/>
          <w:color w:val="2C3E50"/>
          <w:sz w:val="18"/>
          <w:szCs w:val="18"/>
        </w:rPr>
        <w:t xml:space="preserve">      "timeoutSeconds": 30,</w:t>
      </w:r>
    </w:p>
    <w:p>
      <w:pPr>
        <w:spacing w:after="0"/>
      </w:pPr>
      <w:r>
        <w:rPr>
          <w:rFonts w:ascii="Consolas" w:cs="Consolas" w:eastAsia="Consolas" w:hAnsi="Consolas"/>
          <w:color w:val="2C3E50"/>
          <w:sz w:val="18"/>
          <w:szCs w:val="18"/>
        </w:rPr>
        <w:t xml:space="preserve">      "retryCount": 3,</w:t>
      </w:r>
    </w:p>
    <w:p>
      <w:pPr>
        <w:spacing w:after="0"/>
      </w:pPr>
      <w:r>
        <w:rPr>
          <w:rFonts w:ascii="Consolas" w:cs="Consolas" w:eastAsia="Consolas" w:hAnsi="Consolas"/>
          <w:color w:val="2C3E50"/>
          <w:sz w:val="18"/>
          <w:szCs w:val="18"/>
        </w:rPr>
        <w:t xml:space="preserve">      "retryDelayMs": 500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6.2 External API Provider (LloydsMDR)</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"LloydsMDR": {</w:t>
      </w:r>
    </w:p>
    <w:p>
      <w:pPr>
        <w:spacing w:after="0"/>
      </w:pPr>
      <w:r>
        <w:rPr>
          <w:rFonts w:ascii="Consolas" w:cs="Consolas" w:eastAsia="Consolas" w:hAnsi="Consolas"/>
          <w:color w:val="2C3E50"/>
          <w:sz w:val="18"/>
          <w:szCs w:val="18"/>
        </w:rPr>
        <w:t xml:space="preserve">    "type": "ExternalApi",</w:t>
      </w:r>
    </w:p>
    <w:p>
      <w:pPr>
        <w:spacing w:after="0"/>
      </w:pPr>
      <w:r>
        <w:rPr>
          <w:rFonts w:ascii="Consolas" w:cs="Consolas" w:eastAsia="Consolas" w:hAnsi="Consolas"/>
          <w:color w:val="2C3E50"/>
          <w:sz w:val="18"/>
          <w:szCs w:val="18"/>
        </w:rPr>
        <w:t xml:space="preserve">    "endpoint": {</w:t>
      </w:r>
    </w:p>
    <w:p>
      <w:pPr>
        <w:spacing w:after="0"/>
      </w:pPr>
      <w:r>
        <w:rPr>
          <w:rFonts w:ascii="Consolas" w:cs="Consolas" w:eastAsia="Consolas" w:hAnsi="Consolas"/>
          <w:color w:val="2C3E50"/>
          <w:sz w:val="18"/>
          <w:szCs w:val="18"/>
        </w:rPr>
        <w:t xml:space="preserve">      "baseUrl": "https://api.lloyds.com/mdr/v2",</w:t>
      </w:r>
    </w:p>
    <w:p>
      <w:pPr>
        <w:spacing w:after="0"/>
      </w:pPr>
      <w:r>
        <w:rPr>
          <w:rFonts w:ascii="Consolas" w:cs="Consolas" w:eastAsia="Consolas" w:hAnsi="Consolas"/>
          <w:color w:val="2C3E50"/>
          <w:sz w:val="18"/>
          <w:szCs w:val="18"/>
        </w:rPr>
        <w:t xml:space="preserve">      "path": "/risks/search",</w:t>
      </w:r>
    </w:p>
    <w:p>
      <w:pPr>
        <w:spacing w:after="0"/>
      </w:pPr>
      <w:r>
        <w:rPr>
          <w:rFonts w:ascii="Consolas" w:cs="Consolas" w:eastAsia="Consolas" w:hAnsi="Consolas"/>
          <w:color w:val="2C3E50"/>
          <w:sz w:val="18"/>
          <w:szCs w:val="18"/>
        </w:rPr>
        <w:t xml:space="preserve">      "authType": "OAuth2_ClientCredentials",</w:t>
      </w:r>
    </w:p>
    <w:p>
      <w:pPr>
        <w:spacing w:after="0"/>
      </w:pPr>
      <w:r>
        <w:rPr>
          <w:rFonts w:ascii="Consolas" w:cs="Consolas" w:eastAsia="Consolas" w:hAnsi="Consolas"/>
          <w:color w:val="2C3E50"/>
          <w:sz w:val="18"/>
          <w:szCs w:val="18"/>
        </w:rPr>
        <w:t xml:space="preserve">      "tokenEndpoint": "https://auth.lloyds.com/oauth/token",</w:t>
      </w:r>
    </w:p>
    <w:p>
      <w:pPr>
        <w:spacing w:after="0"/>
      </w:pPr>
      <w:r>
        <w:rPr>
          <w:rFonts w:ascii="Consolas" w:cs="Consolas" w:eastAsia="Consolas" w:hAnsi="Consolas"/>
          <w:color w:val="2C3E50"/>
          <w:sz w:val="18"/>
          <w:szCs w:val="18"/>
        </w:rPr>
        <w:t xml:space="preserve">      "clientId": "#{KeyVault:LloydsMDR-ClientId}#",</w:t>
      </w:r>
    </w:p>
    <w:p>
      <w:pPr>
        <w:spacing w:after="0"/>
      </w:pPr>
      <w:r>
        <w:rPr>
          <w:rFonts w:ascii="Consolas" w:cs="Consolas" w:eastAsia="Consolas" w:hAnsi="Consolas"/>
          <w:color w:val="2C3E50"/>
          <w:sz w:val="18"/>
          <w:szCs w:val="18"/>
        </w:rPr>
        <w:t xml:space="preserve">      "clientSecret": "#{KeyVault:LloydsMDR-ClientSecret}#",</w:t>
      </w:r>
    </w:p>
    <w:p>
      <w:pPr>
        <w:spacing w:after="0"/>
      </w:pPr>
      <w:r>
        <w:rPr>
          <w:rFonts w:ascii="Consolas" w:cs="Consolas" w:eastAsia="Consolas" w:hAnsi="Consolas"/>
          <w:color w:val="2C3E50"/>
          <w:sz w:val="18"/>
          <w:szCs w:val="18"/>
        </w:rPr>
        <w:t xml:space="preserve">      "scopes": ["mdr.read"]</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"resilience": {</w:t>
      </w:r>
    </w:p>
    <w:p>
      <w:pPr>
        <w:spacing w:after="0"/>
      </w:pPr>
      <w:r>
        <w:rPr>
          <w:rFonts w:ascii="Consolas" w:cs="Consolas" w:eastAsia="Consolas" w:hAnsi="Consolas"/>
          <w:color w:val="2C3E50"/>
          <w:sz w:val="18"/>
          <w:szCs w:val="18"/>
        </w:rPr>
        <w:t xml:space="preserve">      "timeoutSeconds": 30,</w:t>
      </w:r>
    </w:p>
    <w:p>
      <w:pPr>
        <w:spacing w:after="0"/>
      </w:pPr>
      <w:r>
        <w:rPr>
          <w:rFonts w:ascii="Consolas" w:cs="Consolas" w:eastAsia="Consolas" w:hAnsi="Consolas"/>
          <w:color w:val="2C3E50"/>
          <w:sz w:val="18"/>
          <w:szCs w:val="18"/>
        </w:rPr>
        <w:t xml:space="preserve">      "retryCount": 3,</w:t>
      </w:r>
    </w:p>
    <w:p>
      <w:pPr>
        <w:spacing w:after="0"/>
      </w:pPr>
      <w:r>
        <w:rPr>
          <w:rFonts w:ascii="Consolas" w:cs="Consolas" w:eastAsia="Consolas" w:hAnsi="Consolas"/>
          <w:color w:val="2C3E50"/>
          <w:sz w:val="18"/>
          <w:szCs w:val="18"/>
        </w:rPr>
        <w:t xml:space="preserve">      "retryDelayMs": 500,</w:t>
      </w:r>
    </w:p>
    <w:p>
      <w:pPr>
        <w:spacing w:after="0"/>
      </w:pPr>
      <w:r>
        <w:rPr>
          <w:rFonts w:ascii="Consolas" w:cs="Consolas" w:eastAsia="Consolas" w:hAnsi="Consolas"/>
          <w:color w:val="2C3E50"/>
          <w:sz w:val="18"/>
          <w:szCs w:val="18"/>
        </w:rPr>
        <w:t xml:space="preserve">      "circuitBreaker": {</w:t>
      </w:r>
    </w:p>
    <w:p>
      <w:pPr>
        <w:spacing w:after="0"/>
      </w:pPr>
      <w:r>
        <w:rPr>
          <w:rFonts w:ascii="Consolas" w:cs="Consolas" w:eastAsia="Consolas" w:hAnsi="Consolas"/>
          <w:color w:val="2C3E50"/>
          <w:sz w:val="18"/>
          <w:szCs w:val="18"/>
        </w:rPr>
        <w:t xml:space="preserve">        "failureThreshold": 5,</w:t>
      </w:r>
    </w:p>
    <w:p>
      <w:pPr>
        <w:spacing w:after="0"/>
      </w:pPr>
      <w:r>
        <w:rPr>
          <w:rFonts w:ascii="Consolas" w:cs="Consolas" w:eastAsia="Consolas" w:hAnsi="Consolas"/>
          <w:color w:val="2C3E50"/>
          <w:sz w:val="18"/>
          <w:szCs w:val="18"/>
        </w:rPr>
        <w:t xml:space="preserve">        "breakDurationSeconds": 60</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spacing w:after="120"/>
      </w:pPr>
      <w:r>
        <w:rPr>
          <w:rFonts w:ascii="Arial" w:cs="Arial" w:eastAsia="Arial" w:hAnsi="Arial"/>
          <w:sz w:val="22"/>
          <w:szCs w:val="22"/>
        </w:rPr>
        <w:t xml:space="preserve">The request body is identical for both. The only difference is the X-Provider header value. The adapter resolves the config, handles authentication, maps the request to the provider's format, and maps the response back to the common model.</w:t>
      </w:r>
    </w:p>
    <w:p>
      <w:r>
        <w:br w:type="page"/>
      </w:r>
    </w:p>
    <w:p>
      <w:pPr>
        <w:pStyle w:val="Heading1"/>
        <w:spacing w:after="150" w:before="300"/>
      </w:pPr>
      <w:r>
        <w:rPr>
          <w:b/>
          <w:bCs/>
        </w:rPr>
        <w:t xml:space="preserve">7. Request Examples</w:t>
      </w:r>
    </w:p>
    <w:p>
      <w:pPr>
        <w:pStyle w:val="Heading2"/>
        <w:spacing w:after="150" w:before="300"/>
      </w:pPr>
      <w:r>
        <w:rPr>
          <w:b/>
          <w:bCs/>
        </w:rPr>
        <w:t xml:space="preserve">7.1 Example 1: Rx0 calling GSIDataPlatform (Internal)</w:t>
      </w:r>
    </w:p>
    <w:p>
      <w:pPr>
        <w:spacing w:after="120"/>
      </w:pPr>
      <w:r>
        <w:rPr>
          <w:rFonts w:ascii="Arial" w:cs="Arial" w:eastAsia="Arial" w:hAnsi="Arial"/>
          <w:sz w:val="22"/>
          <w:szCs w:val="22"/>
        </w:rPr>
        <w:t xml:space="preserve">Rx0 searches for Policy and Quote data across the internal data platform.</w:t>
      </w:r>
    </w:p>
    <w:p>
      <w:pPr>
        <w:spacing w:after="60"/>
      </w:pPr>
    </w:p>
    <w:p>
      <w:pPr>
        <w:spacing w:after="120"/>
        <w:rPr>
          <w:b/>
          <w:bCs/>
          <w:color w:val="5D6D7E"/>
        </w:rPr>
      </w:pPr>
      <w:r>
        <w:rPr>
          <w:rFonts w:ascii="Arial" w:cs="Arial" w:eastAsia="Arial" w:hAnsi="Arial"/>
          <w:b/>
          <w:bCs/>
          <w:color w:val="5D6D7E"/>
          <w:sz w:val="22"/>
          <w:szCs w:val="22"/>
        </w:rPr>
        <w:t xml:space="preserve">Headers:</w:t>
      </w:r>
    </w:p>
    <w:p>
      <w:pPr>
        <w:spacing w:after="0"/>
      </w:pPr>
      <w:r>
        <w:rPr>
          <w:rFonts w:ascii="Consolas" w:cs="Consolas" w:eastAsia="Consolas" w:hAnsi="Consolas"/>
          <w:color w:val="2C3E50"/>
          <w:sz w:val="18"/>
          <w:szCs w:val="18"/>
        </w:rPr>
        <w:t xml:space="preserve">X-Correlation-Id: RC-20260317-000123</w:t>
      </w:r>
    </w:p>
    <w:p>
      <w:pPr>
        <w:spacing w:after="0"/>
      </w:pPr>
      <w:r>
        <w:rPr>
          <w:rFonts w:ascii="Consolas" w:cs="Consolas" w:eastAsia="Consolas" w:hAnsi="Consolas"/>
          <w:color w:val="2C3E50"/>
          <w:sz w:val="18"/>
          <w:szCs w:val="18"/>
        </w:rPr>
        <w:t xml:space="preserve">X-Source-System: Rx0</w:t>
      </w:r>
    </w:p>
    <w:p>
      <w:pPr>
        <w:spacing w:after="0"/>
      </w:pPr>
      <w:r>
        <w:rPr>
          <w:rFonts w:ascii="Consolas" w:cs="Consolas" w:eastAsia="Consolas" w:hAnsi="Consolas"/>
          <w:color w:val="2C3E50"/>
          <w:sz w:val="18"/>
          <w:szCs w:val="18"/>
        </w:rPr>
        <w:t xml:space="preserve">X-Source-System-Reference: RX0-REQ-0001</w:t>
      </w:r>
    </w:p>
    <w:p>
      <w:pPr>
        <w:spacing w:after="0"/>
      </w:pPr>
      <w:r>
        <w:rPr>
          <w:rFonts w:ascii="Consolas" w:cs="Consolas" w:eastAsia="Consolas" w:hAnsi="Consolas"/>
          <w:color w:val="2C3E50"/>
          <w:sz w:val="18"/>
          <w:szCs w:val="18"/>
        </w:rPr>
        <w:t xml:space="preserve">X-Provider: GSIDataPlatform</w:t>
      </w:r>
    </w:p>
    <w:p>
      <w:pPr>
        <w:spacing w:after="60"/>
      </w:pPr>
    </w:p>
    <w:p>
      <w:pPr>
        <w:spacing w:after="120"/>
        <w:rPr>
          <w:b/>
          <w:bCs/>
          <w:color w:val="5D6D7E"/>
        </w:rPr>
      </w:pPr>
      <w:r>
        <w:rPr>
          <w:rFonts w:ascii="Arial" w:cs="Arial" w:eastAsia="Arial" w:hAnsi="Arial"/>
          <w:b/>
          <w:bCs/>
          <w:color w:val="5D6D7E"/>
          <w:sz w:val="22"/>
          <w:szCs w:val="22"/>
        </w:rPr>
        <w:t xml:space="preserve">Body: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 "insuredName": "CocaCola Inc", "uniqueId": "123456789", "countryCode": "US"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"coverageDetails": { "classOfBusiness": ["PVT"] },</w:t>
      </w:r>
    </w:p>
    <w:p>
      <w:pPr>
        <w:spacing w:after="0"/>
      </w:pPr>
      <w:r>
        <w:rPr>
          <w:rFonts w:ascii="Consolas" w:cs="Consolas" w:eastAsia="Consolas" w:hAnsi="Consolas"/>
          <w:color w:val="2C3E50"/>
          <w:sz w:val="18"/>
          <w:szCs w:val="18"/>
        </w:rPr>
        <w:t xml:space="preserve">  "transactions": [</w:t>
      </w:r>
    </w:p>
    <w:p>
      <w:pPr>
        <w:spacing w:after="0"/>
      </w:pPr>
      <w:r>
        <w:rPr>
          <w:rFonts w:ascii="Consolas" w:cs="Consolas" w:eastAsia="Consolas" w:hAnsi="Consolas"/>
          <w:color w:val="2C3E50"/>
          <w:sz w:val="18"/>
          <w:szCs w:val="18"/>
        </w:rPr>
        <w:t xml:space="preserve">    { "type": "Policy", "confidenceScore": 50, "lookBackMonths": 6,</w:t>
      </w:r>
    </w:p>
    <w:p>
      <w:pPr>
        <w:spacing w:after="0"/>
      </w:pPr>
      <w:r>
        <w:rPr>
          <w:rFonts w:ascii="Consolas" w:cs="Consolas" w:eastAsia="Consolas" w:hAnsi="Consolas"/>
          <w:color w:val="2C3E50"/>
          <w:sz w:val="18"/>
          <w:szCs w:val="18"/>
        </w:rPr>
        <w:t xml:space="preserve">      "numberOfResults": 10, "statusFilter": ["Bound", "Cancelled"] },</w:t>
      </w:r>
    </w:p>
    <w:p>
      <w:pPr>
        <w:spacing w:after="0"/>
      </w:pPr>
      <w:r>
        <w:rPr>
          <w:rFonts w:ascii="Consolas" w:cs="Consolas" w:eastAsia="Consolas" w:hAnsi="Consolas"/>
          <w:color w:val="2C3E50"/>
          <w:sz w:val="18"/>
          <w:szCs w:val="18"/>
        </w:rPr>
        <w:t xml:space="preserve">    { "type": "Quote", "confidenceScore": 60, "lookBackMonths": 12,</w:t>
      </w:r>
    </w:p>
    <w:p>
      <w:pPr>
        <w:spacing w:after="0"/>
      </w:pPr>
      <w:r>
        <w:rPr>
          <w:rFonts w:ascii="Consolas" w:cs="Consolas" w:eastAsia="Consolas" w:hAnsi="Consolas"/>
          <w:color w:val="2C3E50"/>
          <w:sz w:val="18"/>
          <w:szCs w:val="18"/>
        </w:rPr>
        <w:t xml:space="preserve">      "numberOfResults": 5, "statusFilter": ["Quoted", "Referred"]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7.2 Example 2: BrokerPortal calling LloydsMDR (External API)</w:t>
      </w:r>
    </w:p>
    <w:p>
      <w:pPr>
        <w:spacing w:after="120"/>
      </w:pPr>
      <w:r>
        <w:rPr>
          <w:rFonts w:ascii="Arial" w:cs="Arial" w:eastAsia="Arial" w:hAnsi="Arial"/>
          <w:sz w:val="22"/>
          <w:szCs w:val="22"/>
        </w:rPr>
        <w:t xml:space="preserve">BrokerPortal searches for Policy data via the Lloyd's external REST API. The body is the same shape. Only headers differ.</w:t>
      </w:r>
    </w:p>
    <w:p>
      <w:pPr>
        <w:spacing w:after="60"/>
      </w:pPr>
    </w:p>
    <w:p>
      <w:pPr>
        <w:spacing w:after="120"/>
        <w:rPr>
          <w:b/>
          <w:bCs/>
          <w:color w:val="5D6D7E"/>
        </w:rPr>
      </w:pPr>
      <w:r>
        <w:rPr>
          <w:rFonts w:ascii="Arial" w:cs="Arial" w:eastAsia="Arial" w:hAnsi="Arial"/>
          <w:b/>
          <w:bCs/>
          <w:color w:val="5D6D7E"/>
          <w:sz w:val="22"/>
          <w:szCs w:val="22"/>
        </w:rPr>
        <w:t xml:space="preserve">Headers:</w:t>
      </w:r>
    </w:p>
    <w:p>
      <w:pPr>
        <w:spacing w:after="0"/>
      </w:pPr>
      <w:r>
        <w:rPr>
          <w:rFonts w:ascii="Consolas" w:cs="Consolas" w:eastAsia="Consolas" w:hAnsi="Consolas"/>
          <w:color w:val="2C3E50"/>
          <w:sz w:val="18"/>
          <w:szCs w:val="18"/>
        </w:rPr>
        <w:t xml:space="preserve">X-Correlation-Id: RC-20260317-000456</w:t>
      </w:r>
    </w:p>
    <w:p>
      <w:pPr>
        <w:spacing w:after="0"/>
      </w:pPr>
      <w:r>
        <w:rPr>
          <w:rFonts w:ascii="Consolas" w:cs="Consolas" w:eastAsia="Consolas" w:hAnsi="Consolas"/>
          <w:color w:val="2C3E50"/>
          <w:sz w:val="18"/>
          <w:szCs w:val="18"/>
        </w:rPr>
        <w:t xml:space="preserve">X-Source-System: BrokerPortal</w:t>
      </w:r>
    </w:p>
    <w:p>
      <w:pPr>
        <w:spacing w:after="0"/>
      </w:pPr>
      <w:r>
        <w:rPr>
          <w:rFonts w:ascii="Consolas" w:cs="Consolas" w:eastAsia="Consolas" w:hAnsi="Consolas"/>
          <w:color w:val="2C3E50"/>
          <w:sz w:val="18"/>
          <w:szCs w:val="18"/>
        </w:rPr>
        <w:t xml:space="preserve">X-Source-System-Reference: BP-REQ-0042</w:t>
      </w:r>
    </w:p>
    <w:p>
      <w:pPr>
        <w:spacing w:after="0"/>
      </w:pPr>
      <w:r>
        <w:rPr>
          <w:rFonts w:ascii="Consolas" w:cs="Consolas" w:eastAsia="Consolas" w:hAnsi="Consolas"/>
          <w:color w:val="2C3E50"/>
          <w:sz w:val="18"/>
          <w:szCs w:val="18"/>
        </w:rPr>
        <w:t xml:space="preserve">X-Provider: LloydsMDR</w:t>
      </w:r>
    </w:p>
    <w:p>
      <w:pPr>
        <w:spacing w:after="60"/>
      </w:pPr>
    </w:p>
    <w:p>
      <w:pPr>
        <w:spacing w:after="120"/>
        <w:rPr>
          <w:b/>
          <w:bCs/>
          <w:color w:val="5D6D7E"/>
        </w:rPr>
      </w:pPr>
      <w:r>
        <w:rPr>
          <w:rFonts w:ascii="Arial" w:cs="Arial" w:eastAsia="Arial" w:hAnsi="Arial"/>
          <w:b/>
          <w:bCs/>
          <w:color w:val="5D6D7E"/>
          <w:sz w:val="22"/>
          <w:szCs w:val="22"/>
        </w:rPr>
        <w:t xml:space="preserve">Body:</w:t>
      </w: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 "insuredName": "Acme Corp", "uniqueId": "555666777", "countryCode": "GB"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"coverageDetails": { "classOfBusiness": ["MarineHull"] },</w:t>
      </w:r>
    </w:p>
    <w:p>
      <w:pPr>
        <w:spacing w:after="0"/>
      </w:pPr>
      <w:r>
        <w:rPr>
          <w:rFonts w:ascii="Consolas" w:cs="Consolas" w:eastAsia="Consolas" w:hAnsi="Consolas"/>
          <w:color w:val="2C3E50"/>
          <w:sz w:val="18"/>
          <w:szCs w:val="18"/>
        </w:rPr>
        <w:t xml:space="preserve">  "transactions": [</w:t>
      </w:r>
    </w:p>
    <w:p>
      <w:pPr>
        <w:spacing w:after="0"/>
      </w:pPr>
      <w:r>
        <w:rPr>
          <w:rFonts w:ascii="Consolas" w:cs="Consolas" w:eastAsia="Consolas" w:hAnsi="Consolas"/>
          <w:color w:val="2C3E50"/>
          <w:sz w:val="18"/>
          <w:szCs w:val="18"/>
        </w:rPr>
        <w:t xml:space="preserve">    { "type": "Policy", "confidenceScore": 70, "lookBackMonths": 12,</w:t>
      </w:r>
    </w:p>
    <w:p>
      <w:pPr>
        <w:spacing w:after="0"/>
      </w:pPr>
      <w:r>
        <w:rPr>
          <w:rFonts w:ascii="Consolas" w:cs="Consolas" w:eastAsia="Consolas" w:hAnsi="Consolas"/>
          <w:color w:val="2C3E50"/>
          <w:sz w:val="18"/>
          <w:szCs w:val="18"/>
        </w:rPr>
        <w:t xml:space="preserve">      "numberOfResults": 5, "statusFilter": ["Bound", "InForce"]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pPr>
        <w:spacing w:after="60"/>
      </w:pPr>
    </w:p>
    <w:p>
      <w:pPr>
        <w:pStyle w:val="Heading2"/>
        <w:spacing w:after="150" w:before="300"/>
      </w:pPr>
      <w:r>
        <w:rPr>
          <w:b/>
          <w:bCs/>
        </w:rPr>
        <w:t xml:space="preserve">7.3 Example 3: Minimal Request</w:t>
      </w:r>
    </w:p>
    <w:p>
      <w:pPr>
        <w:spacing w:after="120"/>
      </w:pPr>
      <w:r>
        <w:rPr>
          <w:rFonts w:ascii="Arial" w:cs="Arial" w:eastAsia="Arial" w:hAnsi="Arial"/>
          <w:sz w:val="22"/>
          <w:szCs w:val="22"/>
        </w:rPr>
        <w:t xml:space="preserve">Simplest possible request: one insured, one transaction type.</w:t>
      </w:r>
    </w:p>
    <w:p>
      <w:pPr>
        <w:spacing w:after="60"/>
      </w:pPr>
    </w:p>
    <w:p>
      <w:pPr>
        <w:spacing w:after="0"/>
      </w:pPr>
      <w:r>
        <w:rPr>
          <w:rFonts w:ascii="Consolas" w:cs="Consolas" w:eastAsia="Consolas" w:hAnsi="Consolas"/>
          <w:color w:val="2C3E50"/>
          <w:sz w:val="18"/>
          <w:szCs w:val="18"/>
        </w:rPr>
        <w:t xml:space="preserve">{</w:t>
      </w:r>
    </w:p>
    <w:p>
      <w:pPr>
        <w:spacing w:after="0"/>
      </w:pPr>
      <w:r>
        <w:rPr>
          <w:rFonts w:ascii="Consolas" w:cs="Consolas" w:eastAsia="Consolas" w:hAnsi="Consolas"/>
          <w:color w:val="2C3E50"/>
          <w:sz w:val="18"/>
          <w:szCs w:val="18"/>
        </w:rPr>
        <w:t xml:space="preserve">  "insuredDetails": [</w:t>
      </w:r>
    </w:p>
    <w:p>
      <w:pPr>
        <w:spacing w:after="0"/>
      </w:pPr>
      <w:r>
        <w:rPr>
          <w:rFonts w:ascii="Consolas" w:cs="Consolas" w:eastAsia="Consolas" w:hAnsi="Consolas"/>
          <w:color w:val="2C3E50"/>
          <w:sz w:val="18"/>
          <w:szCs w:val="18"/>
        </w:rPr>
        <w:t xml:space="preserve">    { "insuredName": "Tesla Inc", "uniqueId": "111222333", "countryCode": "US"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"coverageDetails": { "classOfBusiness": ["PVT"] },</w:t>
      </w:r>
    </w:p>
    <w:p>
      <w:pPr>
        <w:spacing w:after="0"/>
      </w:pPr>
      <w:r>
        <w:rPr>
          <w:rFonts w:ascii="Consolas" w:cs="Consolas" w:eastAsia="Consolas" w:hAnsi="Consolas"/>
          <w:color w:val="2C3E50"/>
          <w:sz w:val="18"/>
          <w:szCs w:val="18"/>
        </w:rPr>
        <w:t xml:space="preserve">  "transactions": [</w:t>
      </w:r>
    </w:p>
    <w:p>
      <w:pPr>
        <w:spacing w:after="0"/>
      </w:pPr>
      <w:r>
        <w:rPr>
          <w:rFonts w:ascii="Consolas" w:cs="Consolas" w:eastAsia="Consolas" w:hAnsi="Consolas"/>
          <w:color w:val="2C3E50"/>
          <w:sz w:val="18"/>
          <w:szCs w:val="18"/>
        </w:rPr>
        <w:t xml:space="preserve">    { "type": "Policy", "confidenceScore": 50, "lookBackMonths": 6,</w:t>
      </w:r>
    </w:p>
    <w:p>
      <w:pPr>
        <w:spacing w:after="0"/>
      </w:pPr>
      <w:r>
        <w:rPr>
          <w:rFonts w:ascii="Consolas" w:cs="Consolas" w:eastAsia="Consolas" w:hAnsi="Consolas"/>
          <w:color w:val="2C3E50"/>
          <w:sz w:val="18"/>
          <w:szCs w:val="18"/>
        </w:rPr>
        <w:t xml:space="preserve">      "numberOfResults": 10, "statusFilter": ["Bound"]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w:t>
      </w:r>
    </w:p>
    <w:p>
      <w:r>
        <w:br w:type="page"/>
      </w:r>
    </w:p>
    <w:p>
      <w:pPr>
        <w:pStyle w:val="Heading1"/>
        <w:spacing w:after="150" w:before="300"/>
      </w:pPr>
      <w:r>
        <w:rPr>
          <w:b/>
          <w:bCs/>
        </w:rPr>
        <w:t xml:space="preserve">8. Before vs After Comparison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Payload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Domain Model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Transaction types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Repeated block per type with full provider/settings duplicated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Simple array, each with own settings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in body, repeated per transaction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header value (X-Provider)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sources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Specified per transaction block</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Abstracted — provider resolves internally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 metadata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body, mixed with domain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headers, separated from domain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Settings (lookback, confidence)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Duplicated across blocks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 transaction type, declared once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new caller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and modify entire payload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body, different X-Source-System header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Adding new provider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Structural changes to payload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New config entry + adapter, body unchanged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Adding new transaction type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 entire block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one object to transactions array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Lines of JSON (body)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~95 lines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 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w:t>
            </w:r>
          </w:p>
        </w:tc>
      </w:tr>
    </w:tbl>
    <w:p>
      <w:r>
        <w:br w:type="page"/>
      </w:r>
    </w:p>
    <w:p>
      <w:pPr>
        <w:pStyle w:val="Heading1"/>
        <w:spacing w:after="150" w:before="300"/>
      </w:pPr>
      <w:r>
        <w:rPr>
          <w:b/>
          <w:bCs/>
        </w:rPr>
        <w:t xml:space="preserve">9. Architecture Flow</w:t>
      </w:r>
    </w:p>
    <w:p>
      <w:pPr>
        <w:spacing w:after="120"/>
      </w:pPr>
      <w:r>
        <w:rPr>
          <w:rFonts w:ascii="Arial" w:cs="Arial" w:eastAsia="Arial" w:hAnsi="Arial"/>
          <w:sz w:val="22"/>
          <w:szCs w:val="22"/>
        </w:rPr>
        <w:t xml:space="preserve">The following describes the end-to-end flow from caller to provider and back, using Azure Durable Functions with the Monitor Pattern for async execution.</w:t>
      </w:r>
    </w:p>
    <w:p>
      <w:pPr>
        <w:spacing w:after="60"/>
      </w:pPr>
    </w:p>
    <w:p>
      <w:pPr>
        <w:pStyle w:val="Heading2"/>
        <w:spacing w:after="150" w:before="300"/>
      </w:pPr>
      <w:r>
        <w:rPr>
          <w:b/>
          <w:bCs/>
        </w:rPr>
        <w:t xml:space="preserve">9.1 Request Flow</w:t>
      </w:r>
    </w:p>
    <w:p>
      <w:pPr>
        <w:pStyle w:val="ListParagraph"/>
        <w:numPr>
          <w:ilvl w:val="0"/>
          <w:numId w:val="3"/>
        </w:numPr>
        <w:spacing w:after="80"/>
      </w:pPr>
      <w:r>
        <w:rPr>
          <w:rFonts w:ascii="Arial" w:cs="Arial" w:eastAsia="Arial" w:hAnsi="Arial"/>
          <w:b/>
          <w:bCs/>
          <w:sz w:val="22"/>
          <w:szCs w:val="22"/>
        </w:rPr>
        <w:t xml:space="preserve">Caller </w:t>
      </w:r>
      <w:r>
        <w:rPr>
          <w:rFonts w:ascii="Arial" w:cs="Arial" w:eastAsia="Arial" w:hAnsi="Arial"/>
          <w:sz w:val="22"/>
          <w:szCs w:val="22"/>
        </w:rPr>
        <w:t xml:space="preserve">sends POST /risks with headers (correlation, source system, provider) and body (common domain model) to APIM.</w:t>
      </w:r>
    </w:p>
    <w:p>
      <w:pPr>
        <w:pStyle w:val="ListParagraph"/>
        <w:numPr>
          <w:ilvl w:val="0"/>
          <w:numId w:val="3"/>
        </w:numPr>
        <w:spacing w:after="80"/>
      </w:pPr>
      <w:r>
        <w:rPr>
          <w:rFonts w:ascii="Arial" w:cs="Arial" w:eastAsia="Arial" w:hAnsi="Arial"/>
          <w:b/>
          <w:bCs/>
          <w:sz w:val="22"/>
          <w:szCs w:val="22"/>
        </w:rPr>
        <w:t xml:space="preserve">APIM </w:t>
      </w:r>
      <w:r>
        <w:rPr>
          <w:rFonts w:ascii="Arial" w:cs="Arial" w:eastAsia="Arial" w:hAnsi="Arial"/>
          <w:sz w:val="22"/>
          <w:szCs w:val="22"/>
        </w:rPr>
        <w:t xml:space="preserve">validates JWT + subscription key, reads X-Provider header, routes to iHub HTTP trigger.</w:t>
      </w:r>
    </w:p>
    <w:p>
      <w:pPr>
        <w:pStyle w:val="ListParagraph"/>
        <w:numPr>
          <w:ilvl w:val="0"/>
          <w:numId w:val="3"/>
        </w:numPr>
        <w:spacing w:after="80"/>
      </w:pPr>
      <w:r>
        <w:rPr>
          <w:rFonts w:ascii="Arial" w:cs="Arial" w:eastAsia="Arial" w:hAnsi="Arial"/>
          <w:b/>
          <w:bCs/>
          <w:sz w:val="22"/>
          <w:szCs w:val="22"/>
        </w:rPr>
        <w:t xml:space="preserve">HTTP Trigger (Starter Function) </w:t>
      </w:r>
      <w:r>
        <w:rPr>
          <w:rFonts w:ascii="Arial" w:cs="Arial" w:eastAsia="Arial" w:hAnsi="Arial"/>
          <w:sz w:val="22"/>
          <w:szCs w:val="22"/>
        </w:rPr>
        <w:t xml:space="preserve">reads headers and body, starts Durable Function orchestrator, returns 202 Accepted with status polling URL.</w:t>
      </w:r>
    </w:p>
    <w:p>
      <w:pPr>
        <w:pStyle w:val="ListParagraph"/>
        <w:numPr>
          <w:ilvl w:val="0"/>
          <w:numId w:val="3"/>
        </w:numPr>
        <w:spacing w:after="80"/>
      </w:pPr>
      <w:r>
        <w:rPr>
          <w:rFonts w:ascii="Arial" w:cs="Arial" w:eastAsia="Arial" w:hAnsi="Arial"/>
          <w:b/>
          <w:bCs/>
          <w:sz w:val="22"/>
          <w:szCs w:val="22"/>
        </w:rPr>
        <w:t xml:space="preserve">Orchestrator </w:t>
      </w:r>
      <w:r>
        <w:rPr>
          <w:rFonts w:ascii="Arial" w:cs="Arial" w:eastAsia="Arial" w:hAnsi="Arial"/>
          <w:sz w:val="22"/>
          <w:szCs w:val="22"/>
        </w:rPr>
        <w:t xml:space="preserve">resolves the provider from X-Provider header, looks up provider config from Azure App Configuration, identifies the correct adapter.</w:t>
      </w:r>
    </w:p>
    <w:p>
      <w:pPr>
        <w:pStyle w:val="ListParagraph"/>
        <w:numPr>
          <w:ilvl w:val="0"/>
          <w:numId w:val="3"/>
        </w:numPr>
        <w:spacing w:after="80"/>
      </w:pPr>
      <w:r>
        <w:rPr>
          <w:rFonts w:ascii="Arial" w:cs="Arial" w:eastAsia="Arial" w:hAnsi="Arial"/>
          <w:b/>
          <w:bCs/>
          <w:sz w:val="22"/>
          <w:szCs w:val="22"/>
        </w:rPr>
        <w:t xml:space="preserve">Adapter Activity </w:t>
      </w:r>
      <w:r>
        <w:rPr>
          <w:rFonts w:ascii="Arial" w:cs="Arial" w:eastAsia="Arial" w:hAnsi="Arial"/>
          <w:sz w:val="22"/>
          <w:szCs w:val="22"/>
        </w:rPr>
        <w:t xml:space="preserve">maps common domain model to provider's request format, authenticates (Managed Identity for internal, OAuth2/ApiKey for external), calls the provider, maps response back to common model.</w:t>
      </w:r>
    </w:p>
    <w:p>
      <w:pPr>
        <w:pStyle w:val="ListParagraph"/>
        <w:numPr>
          <w:ilvl w:val="0"/>
          <w:numId w:val="3"/>
        </w:numPr>
        <w:spacing w:after="80"/>
      </w:pPr>
      <w:r>
        <w:rPr>
          <w:rFonts w:ascii="Arial" w:cs="Arial" w:eastAsia="Arial" w:hAnsi="Arial"/>
          <w:b/>
          <w:bCs/>
          <w:sz w:val="22"/>
          <w:szCs w:val="22"/>
        </w:rPr>
        <w:t xml:space="preserve">For Databricks (GSIDataPlatform): </w:t>
      </w:r>
      <w:r>
        <w:rPr>
          <w:rFonts w:ascii="Arial" w:cs="Arial" w:eastAsia="Arial" w:hAnsi="Arial"/>
          <w:sz w:val="22"/>
          <w:szCs w:val="22"/>
        </w:rPr>
        <w:t xml:space="preserve">uses async SQL Statement Execution API (wait_timeout=0s), then polls via Durable Function timers (Monitor Pattern) until SUCCEEDED.</w:t>
      </w:r>
    </w:p>
    <w:p>
      <w:pPr>
        <w:pStyle w:val="ListParagraph"/>
        <w:numPr>
          <w:ilvl w:val="0"/>
          <w:numId w:val="3"/>
        </w:numPr>
        <w:spacing w:after="80"/>
      </w:pPr>
      <w:r>
        <w:rPr>
          <w:rFonts w:ascii="Arial" w:cs="Arial" w:eastAsia="Arial" w:hAnsi="Arial"/>
          <w:b/>
          <w:bCs/>
          <w:sz w:val="22"/>
          <w:szCs w:val="22"/>
        </w:rPr>
        <w:t xml:space="preserve">Orchestrator </w:t>
      </w:r>
      <w:r>
        <w:rPr>
          <w:rFonts w:ascii="Arial" w:cs="Arial" w:eastAsia="Arial" w:hAnsi="Arial"/>
          <w:sz w:val="22"/>
          <w:szCs w:val="22"/>
        </w:rPr>
        <w:t xml:space="preserve">returns results. Caller polls the status URL and receives 200 with results when complete.</w:t>
      </w:r>
    </w:p>
    <w:p>
      <w:pPr>
        <w:spacing w:after="60"/>
      </w:pPr>
    </w:p>
    <w:p>
      <w:pPr>
        <w:pStyle w:val="Heading2"/>
        <w:spacing w:after="150" w:before="300"/>
      </w:pPr>
      <w:r>
        <w:rPr>
          <w:b/>
          <w:bCs/>
        </w:rPr>
        <w:t xml:space="preserve">9.2 Flow Diagram</w:t>
      </w:r>
    </w:p>
    <w:p>
      <w:pPr>
        <w:spacing w:after="0"/>
      </w:pPr>
      <w:r>
        <w:rPr>
          <w:rFonts w:ascii="Consolas" w:cs="Consolas" w:eastAsia="Consolas" w:hAnsi="Consolas"/>
          <w:color w:val="2C3E50"/>
          <w:sz w:val="18"/>
          <w:szCs w:val="18"/>
        </w:rPr>
        <w:t xml:space="preserve">Caller (Rx0 / BrokerPortal)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POST /risks</w:t>
      </w:r>
    </w:p>
    <w:p>
      <w:pPr>
        <w:spacing w:after="0"/>
      </w:pPr>
      <w:r>
        <w:rPr>
          <w:rFonts w:ascii="Consolas" w:cs="Consolas" w:eastAsia="Consolas" w:hAnsi="Consolas"/>
          <w:color w:val="2C3E50"/>
          <w:sz w:val="18"/>
          <w:szCs w:val="18"/>
        </w:rPr>
        <w:t xml:space="preserve">  │ Headers: X-Provider, X-Correlation-Id, X-Source-System</w:t>
      </w:r>
    </w:p>
    <w:p>
      <w:pPr>
        <w:spacing w:after="0"/>
      </w:pPr>
      <w:r>
        <w:rPr>
          <w:rFonts w:ascii="Consolas" w:cs="Consolas" w:eastAsia="Consolas" w:hAnsi="Consolas"/>
          <w:color w:val="2C3E50"/>
          <w:sz w:val="18"/>
          <w:szCs w:val="18"/>
        </w:rPr>
        <w:t xml:space="preserve">  │ Body: Common Domain Model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APIM (JWT + Subscription Key validation)</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iHub HTTP Trigger → Returns 202 + status URL</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Durable Function Orchestrator</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X-Provider: GSIDataPlatform</w:t>
      </w:r>
    </w:p>
    <w:p>
      <w:pPr>
        <w:spacing w:after="0"/>
      </w:pPr>
      <w:r>
        <w:rPr>
          <w:rFonts w:ascii="Consolas" w:cs="Consolas" w:eastAsia="Consolas" w:hAnsi="Consolas"/>
          <w:color w:val="2C3E50"/>
          <w:sz w:val="18"/>
          <w:szCs w:val="18"/>
        </w:rPr>
        <w:t xml:space="preserve">  │   └─ DatabricksActivity</w:t>
      </w:r>
    </w:p>
    <w:p>
      <w:pPr>
        <w:spacing w:after="0"/>
      </w:pPr>
      <w:r>
        <w:rPr>
          <w:rFonts w:ascii="Consolas" w:cs="Consolas" w:eastAsia="Consolas" w:hAnsi="Consolas"/>
          <w:color w:val="2C3E50"/>
          <w:sz w:val="18"/>
          <w:szCs w:val="18"/>
        </w:rPr>
        <w:t xml:space="preserve">  │       ├─ POST /sql/statements (wait_timeout=0s)</w:t>
      </w:r>
    </w:p>
    <w:p>
      <w:pPr>
        <w:spacing w:after="0"/>
      </w:pPr>
      <w:r>
        <w:rPr>
          <w:rFonts w:ascii="Consolas" w:cs="Consolas" w:eastAsia="Consolas" w:hAnsi="Consolas"/>
          <w:color w:val="2C3E50"/>
          <w:sz w:val="18"/>
          <w:szCs w:val="18"/>
        </w:rPr>
        <w:t xml:space="preserve">  │       ├─ CreateTimer(15s)</w:t>
      </w:r>
    </w:p>
    <w:p>
      <w:pPr>
        <w:spacing w:after="0"/>
      </w:pPr>
      <w:r>
        <w:rPr>
          <w:rFonts w:ascii="Consolas" w:cs="Consolas" w:eastAsia="Consolas" w:hAnsi="Consolas"/>
          <w:color w:val="2C3E50"/>
          <w:sz w:val="18"/>
          <w:szCs w:val="18"/>
        </w:rPr>
        <w:t xml:space="preserve">  │       ├─ GET /sql/statements/{id} (poll)</w:t>
      </w:r>
    </w:p>
    <w:p>
      <w:pPr>
        <w:spacing w:after="0"/>
      </w:pPr>
      <w:r>
        <w:rPr>
          <w:rFonts w:ascii="Consolas" w:cs="Consolas" w:eastAsia="Consolas" w:hAnsi="Consolas"/>
          <w:color w:val="2C3E50"/>
          <w:sz w:val="18"/>
          <w:szCs w:val="18"/>
        </w:rPr>
        <w:t xml:space="preserve">  │       └─ Returns RiskMatch[]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 X-Provider: LloydsMDR</w:t>
      </w:r>
    </w:p>
    <w:p>
      <w:pPr>
        <w:spacing w:after="0"/>
      </w:pPr>
      <w:r>
        <w:rPr>
          <w:rFonts w:ascii="Consolas" w:cs="Consolas" w:eastAsia="Consolas" w:hAnsi="Consolas"/>
          <w:color w:val="2C3E50"/>
          <w:sz w:val="18"/>
          <w:szCs w:val="18"/>
        </w:rPr>
        <w:t xml:space="preserve">  │   └─ LloydsMDRActivity</w:t>
      </w:r>
    </w:p>
    <w:p>
      <w:pPr>
        <w:spacing w:after="0"/>
      </w:pPr>
      <w:r>
        <w:rPr>
          <w:rFonts w:ascii="Consolas" w:cs="Consolas" w:eastAsia="Consolas" w:hAnsi="Consolas"/>
          <w:color w:val="2C3E50"/>
          <w:sz w:val="18"/>
          <w:szCs w:val="18"/>
        </w:rPr>
        <w:t xml:space="preserve">  │       ├─ Acquire OAuth2 token</w:t>
      </w:r>
    </w:p>
    <w:p>
      <w:pPr>
        <w:spacing w:after="0"/>
      </w:pPr>
      <w:r>
        <w:rPr>
          <w:rFonts w:ascii="Consolas" w:cs="Consolas" w:eastAsia="Consolas" w:hAnsi="Consolas"/>
          <w:color w:val="2C3E50"/>
          <w:sz w:val="18"/>
          <w:szCs w:val="18"/>
        </w:rPr>
        <w:t xml:space="preserve">  │       ├─ POST /risks/search (Lloyd’s format)</w:t>
      </w:r>
    </w:p>
    <w:p>
      <w:pPr>
        <w:spacing w:after="0"/>
      </w:pPr>
      <w:r>
        <w:rPr>
          <w:rFonts w:ascii="Consolas" w:cs="Consolas" w:eastAsia="Consolas" w:hAnsi="Consolas"/>
          <w:color w:val="2C3E50"/>
          <w:sz w:val="18"/>
          <w:szCs w:val="18"/>
        </w:rPr>
        <w:t xml:space="preserve">  │       └─ Map response → RiskMatch[]</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  ▼</w:t>
      </w:r>
    </w:p>
    <w:p>
      <w:pPr>
        <w:spacing w:after="0"/>
      </w:pPr>
      <w:r>
        <w:rPr>
          <w:rFonts w:ascii="Consolas" w:cs="Consolas" w:eastAsia="Consolas" w:hAnsi="Consolas"/>
          <w:color w:val="2C3E50"/>
          <w:sz w:val="18"/>
          <w:szCs w:val="18"/>
        </w:rPr>
        <w:t xml:space="preserve">RiskClearanceResponse (common shape)</w:t>
      </w:r>
    </w:p>
    <w:p>
      <w:r>
        <w:br w:type="page"/>
      </w:r>
    </w:p>
    <w:p>
      <w:pPr>
        <w:pStyle w:val="Heading1"/>
        <w:spacing w:after="150" w:before="300"/>
      </w:pPr>
      <w:r>
        <w:rPr>
          <w:b/>
          <w:bCs/>
        </w:rPr>
        <w:t xml:space="preserve">10. Key Design Decisions</w:t>
      </w:r>
    </w:p>
    <w:p>
      <w:pPr>
        <w:spacing w:after="60"/>
      </w:pPr>
    </w:p>
    <w:p>
      <w:pPr>
        <w:pStyle w:val="Heading2"/>
        <w:spacing w:after="150" w:before="300"/>
      </w:pPr>
      <w:r>
        <w:rPr>
          <w:b/>
          <w:bCs/>
        </w:rPr>
        <w:t xml:space="preserve">10.1 Why POST /risks instead of GET?</w:t>
      </w:r>
    </w:p>
    <w:p>
      <w:pPr>
        <w:spacing w:after="120"/>
      </w:pPr>
      <w:r>
        <w:rPr>
          <w:rFonts w:ascii="Arial" w:cs="Arial" w:eastAsia="Arial" w:hAnsi="Arial"/>
          <w:sz w:val="22"/>
          <w:szCs w:val="22"/>
        </w:rPr>
        <w:t xml:space="preserve">The search criteria (multiple insured entities, multiple transaction types with individual settings, nested status filters) is too complex for query string parameters. POST with a JSON body is the pragmatic RESTful approach for complex search operations. The resource is 'risks' and we are retrieving them, but the filter payload dictates POST.</w:t>
      </w:r>
    </w:p>
    <w:p>
      <w:pPr>
        <w:spacing w:after="60"/>
      </w:pPr>
    </w:p>
    <w:p>
      <w:pPr>
        <w:pStyle w:val="Heading2"/>
        <w:spacing w:after="150" w:before="300"/>
      </w:pPr>
      <w:r>
        <w:rPr>
          <w:b/>
          <w:bCs/>
        </w:rPr>
        <w:t xml:space="preserve">10.2 Why provider in header, not body?</w:t>
      </w:r>
    </w:p>
    <w:p>
      <w:pPr>
        <w:spacing w:after="120"/>
      </w:pPr>
      <w:r>
        <w:rPr>
          <w:rFonts w:ascii="Arial" w:cs="Arial" w:eastAsia="Arial" w:hAnsi="Arial"/>
          <w:sz w:val="22"/>
          <w:szCs w:val="22"/>
        </w:rPr>
        <w:t xml:space="preserve">The provider is a routing decision, not domain data. Putting it in the header keeps the body as a pure, reusable domain model. It also enables APIM policies to read the header for routing and rate-limiting without parsing the body.</w:t>
      </w:r>
    </w:p>
    <w:p>
      <w:pPr>
        <w:spacing w:after="60"/>
      </w:pPr>
    </w:p>
    <w:p>
      <w:pPr>
        <w:pStyle w:val="Heading2"/>
        <w:spacing w:after="150" w:before="300"/>
      </w:pPr>
      <w:r>
        <w:rPr>
          <w:b/>
          <w:bCs/>
        </w:rPr>
        <w:t xml:space="preserve">10.3 Why no data sources in the request?</w:t>
      </w:r>
    </w:p>
    <w:p>
      <w:pPr>
        <w:spacing w:after="120"/>
      </w:pPr>
      <w:r>
        <w:rPr>
          <w:rFonts w:ascii="Arial" w:cs="Arial" w:eastAsia="Arial" w:hAnsi="Arial"/>
          <w:sz w:val="22"/>
          <w:szCs w:val="22"/>
        </w:rPr>
        <w:t xml:space="preserve">Data sources (S2000, Majesco, Eclipse) are internal implementation details of a provider. The caller says 'search GSIDataPlatform' and the provider decides which underlying sources to query. This keeps the domain model clean and avoids coupling callers to provider internals.</w:t>
      </w:r>
    </w:p>
    <w:p>
      <w:pPr>
        <w:spacing w:after="60"/>
      </w:pPr>
    </w:p>
    <w:p>
      <w:pPr>
        <w:pStyle w:val="Heading2"/>
        <w:spacing w:after="150" w:before="300"/>
      </w:pPr>
      <w:r>
        <w:rPr>
          <w:b/>
          <w:bCs/>
        </w:rPr>
        <w:t xml:space="preserve">10.4 Why settings per transaction type?</w:t>
      </w:r>
    </w:p>
    <w:p>
      <w:pPr>
        <w:spacing w:after="120"/>
      </w:pPr>
      <w:r>
        <w:rPr>
          <w:rFonts w:ascii="Arial" w:cs="Arial" w:eastAsia="Arial" w:hAnsi="Arial"/>
          <w:sz w:val="22"/>
          <w:szCs w:val="22"/>
        </w:rPr>
        <w:t xml:space="preserve">Different transaction types have genuinely different search requirements. A Policy search may need 6 months lookback with a low confidence threshold, while a Quote search may need 12 months with a higher threshold. Making settings per-type reflects the real business need without duplication.</w:t>
      </w:r>
    </w:p>
    <w:p>
      <w:pPr>
        <w:spacing w:after="60"/>
      </w:pPr>
    </w:p>
    <w:p>
      <w:pPr>
        <w:pStyle w:val="Heading2"/>
        <w:spacing w:after="150" w:before="300"/>
      </w:pPr>
      <w:r>
        <w:rPr>
          <w:b/>
          <w:bCs/>
        </w:rPr>
        <w:t xml:space="preserve">10.5 Why Durable Functions Monitor Pattern?</w:t>
      </w:r>
    </w:p>
    <w:p>
      <w:pPr>
        <w:spacing w:after="120"/>
      </w:pPr>
      <w:r>
        <w:rPr>
          <w:rFonts w:ascii="Arial" w:cs="Arial" w:eastAsia="Arial" w:hAnsi="Arial"/>
          <w:sz w:val="22"/>
          <w:szCs w:val="22"/>
        </w:rPr>
        <w:t xml:space="preserve">The Databricks SQL Statement Execution API is inherently async (returns a statement ID, requires polling). The Durable Functions Monitor Pattern with CreateTimer-based polling incurs zero compute cost during waits, handles process restarts gracefully, and costs fractions of a cent per orchestration for a typical 40-second query.</w:t>
      </w:r>
    </w:p>
    <w:p>
      <w:pPr>
        <w:pBdr>
          <w:bottom w:val="single" w:color="1B4F72" w:sz="4" w:space="1"/>
        </w:pBdr>
        <w:spacing w:after="200" w:before="200"/>
      </w:pPr>
    </w:p>
    <w:p>
      <w:pPr>
        <w:pStyle w:val="Heading1"/>
        <w:spacing w:after="150" w:before="300"/>
      </w:pPr>
      <w:r>
        <w:rPr>
          <w:b/>
          <w:bCs/>
        </w:rPr>
        <w:t xml:space="preserve">11. Open Questions for SA Forum</w:t>
      </w:r>
    </w:p>
    <w:p>
      <w:pPr>
        <w:spacing w:after="60"/>
      </w:pPr>
    </w:p>
    <w:p>
      <w:pPr>
        <w:pStyle w:val="ListParagraph"/>
        <w:numPr>
          <w:ilvl w:val="0"/>
          <w:numId w:val="3"/>
        </w:numPr>
        <w:spacing w:after="80"/>
      </w:pPr>
      <w:r>
        <w:rPr>
          <w:rFonts w:ascii="Arial" w:cs="Arial" w:eastAsia="Arial" w:hAnsi="Arial"/>
          <w:sz w:val="22"/>
          <w:szCs w:val="22"/>
        </w:rPr>
        <w:t xml:space="preserve">Should the response include which data source within a provider produced each match, or is that an internal detail the caller doesn't need?</w:t>
      </w:r>
    </w:p>
    <w:p>
      <w:pPr>
        <w:pStyle w:val="ListParagraph"/>
        <w:numPr>
          <w:ilvl w:val="0"/>
          <w:numId w:val="3"/>
        </w:numPr>
        <w:spacing w:after="80"/>
      </w:pPr>
      <w:r>
        <w:rPr>
          <w:rFonts w:ascii="Arial" w:cs="Arial" w:eastAsia="Arial" w:hAnsi="Arial"/>
          <w:sz w:val="22"/>
          <w:szCs w:val="22"/>
        </w:rPr>
        <w:t xml:space="preserve">Do we need a mechanism for the caller to request multiple providers in a single request (fan-out), or is one provider per request sufficient?</w:t>
      </w:r>
    </w:p>
    <w:p>
      <w:pPr>
        <w:pStyle w:val="ListParagraph"/>
        <w:numPr>
          <w:ilvl w:val="0"/>
          <w:numId w:val="3"/>
        </w:numPr>
        <w:spacing w:after="80"/>
      </w:pPr>
      <w:r>
        <w:rPr>
          <w:rFonts w:ascii="Arial" w:cs="Arial" w:eastAsia="Arial" w:hAnsi="Arial"/>
          <w:sz w:val="22"/>
          <w:szCs w:val="22"/>
        </w:rPr>
        <w:t xml:space="preserve">Should the enum values (TransactionType, TransactionStatus, ClassOfBusiness) be open strings or closed enums? Open strings are more flexible but less safe.</w:t>
      </w:r>
    </w:p>
    <w:p>
      <w:pPr>
        <w:pStyle w:val="ListParagraph"/>
        <w:numPr>
          <w:ilvl w:val="0"/>
          <w:numId w:val="3"/>
        </w:numPr>
        <w:spacing w:after="80"/>
      </w:pPr>
      <w:r>
        <w:rPr>
          <w:rFonts w:ascii="Arial" w:cs="Arial" w:eastAsia="Arial" w:hAnsi="Arial"/>
          <w:sz w:val="22"/>
          <w:szCs w:val="22"/>
        </w:rPr>
        <w:t xml:space="preserve">Is the Durable Functions 202 polling model acceptable for all callers, or do some callers need a synchronous response with a timeout?</w:t>
      </w:r>
    </w:p>
    <w:p>
      <w:pPr>
        <w:pStyle w:val="ListParagraph"/>
        <w:numPr>
          <w:ilvl w:val="0"/>
          <w:numId w:val="3"/>
        </w:numPr>
        <w:spacing w:after="80"/>
      </w:pPr>
      <w:r>
        <w:rPr>
          <w:rFonts w:ascii="Arial" w:cs="Arial" w:eastAsia="Arial" w:hAnsi="Arial"/>
          <w:sz w:val="22"/>
          <w:szCs w:val="22"/>
        </w:rPr>
        <w:t xml:space="preserve">Should the common domain model be versioned in the URL path (/v1/risks, /v2/risks) or via Accept headers?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MRSGt Broker Portal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Risk Clearance API — Common Domain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2026-04-14T10:47:16.171Z</dcterms:created>
  <dcterms:modified xsi:type="dcterms:W3CDTF">2026-04-14T10:47:16.197Z</dcterms:modified>
</cp:coreProperties>
</file>

<file path=docProps/custom.xml><?xml version="1.0" encoding="utf-8"?>
<Properties xmlns="http://schemas.openxmlformats.org/officeDocument/2006/custom-properties" xmlns:vt="http://schemas.openxmlformats.org/officeDocument/2006/docPropsVTypes"/>
</file>