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4F72"/>
          <w:sz w:val="52"/>
          <w:szCs w:val="52"/>
        </w:rPr>
        <w:t xml:space="preserve">RISK CLEARANCE API</w:t>
      </w:r>
    </w:p>
    <w:p>
      <w:pPr>
        <w:spacing w:after="100"/>
        <w:jc w:val="center"/>
      </w:pPr>
      <w:r>
        <w:rPr>
          <w:rFonts w:ascii="Arial" w:cs="Arial" w:eastAsia="Arial" w:hAnsi="Arial"/>
          <w:color w:val="2E86C1"/>
          <w:sz w:val="40"/>
          <w:szCs w:val="40"/>
        </w:rPr>
        <w:t xml:space="preserve">Common Domain Model</w:t>
      </w:r>
    </w:p>
    <w:p>
      <w:pPr>
        <w:spacing w:after="100"/>
        <w:jc w:val="center"/>
      </w:pPr>
      <w:r>
        <w:rPr>
          <w:rFonts w:ascii="Arial" w:cs="Arial" w:eastAsia="Arial" w:hAnsi="Arial"/>
          <w:color w:val="5DADE2"/>
          <w:sz w:val="32"/>
          <w:szCs w:val="32"/>
        </w:rPr>
        <w:t xml:space="preserve">Schema Reference &amp; Integration Guide</w:t>
      </w:r>
    </w:p>
    <w:p>
      <w:pPr>
        <w:pBdr>
          <w:top w:val="single" w:color="1B4F72" w:sz="4" w:space="8"/>
        </w:pBdr>
        <w:spacing w:after="200" w:before="400"/>
        <w:jc w:val="center"/>
      </w:pPr>
    </w:p>
    <w:p>
      <w:pPr>
        <w:spacing w:after="80"/>
        <w:jc w:val="center"/>
      </w:pPr>
      <w:r>
        <w:rPr>
          <w:rFonts w:ascii="Arial" w:cs="Arial" w:eastAsia="Arial" w:hAnsi="Arial"/>
          <w:color w:val="5D6D7E"/>
          <w:sz w:val="24"/>
          <w:szCs w:val="24"/>
        </w:rPr>
        <w:t xml:space="preserve">Ceded-Re Platform | iHub Integration</w:t>
      </w:r>
    </w:p>
    <w:p>
      <w:pPr>
        <w:spacing w:after="80"/>
        <w:jc w:val="center"/>
      </w:pPr>
      <w:r>
        <w:rPr>
          <w:rFonts w:ascii="Arial" w:cs="Arial" w:eastAsia="Arial" w:hAnsi="Arial"/>
          <w:color w:val="5D6D7E"/>
          <w:sz w:val="24"/>
          <w:szCs w:val="24"/>
        </w:rPr>
        <w:t xml:space="preserve">MRSGt Broker Portal</w:t>
      </w:r>
    </w:p>
    <w:p>
      <w:pPr>
        <w:spacing w:after="80"/>
        <w:jc w:val="center"/>
      </w:pPr>
      <w:r>
        <w:rPr>
          <w:rFonts w:ascii="Arial" w:cs="Arial" w:eastAsia="Arial" w:hAnsi="Arial"/>
          <w:color w:val="5D6D7E"/>
          <w:sz w:val="24"/>
          <w:szCs w:val="24"/>
        </w:rPr>
        <w:t xml:space="preserve">Version 1.0 | April 2026</w:t>
      </w:r>
    </w:p>
    <w:p>
      <w:pPr>
        <w:spacing w:after="80"/>
        <w:jc w:val="center"/>
      </w:pPr>
      <w:r>
        <w:rPr>
          <w:rFonts w:ascii="Arial" w:cs="Arial" w:eastAsia="Arial" w:hAnsi="Arial"/>
          <w:b/>
          <w:bCs/>
          <w:color w:val="E74C3C"/>
          <w:sz w:val="24"/>
          <w:szCs w:val="24"/>
        </w:rPr>
        <w:t xml:space="preserve">Status: Draft for SA Forum Review</w:t>
      </w:r>
    </w:p>
    <w:p>
      <w:pPr>
        <w:sectPr>
          <w:pgSz w:w="12240" w:h="15840" w:orient="portrait"/>
          <w:pgMar w:top="1440" w:right="1440" w:bottom="1440" w:left="1440" w:header="708" w:footer="708" w:gutter="0"/>
          <w:pgNumType/>
          <w:docGrid w:linePitch="360"/>
        </w:sectPr>
      </w:pPr>
    </w:p>
    <w:p>
      <w:pPr>
        <w:pStyle w:val="Heading1"/>
        <w:spacing w:after="200" w:before="360"/>
      </w:pPr>
      <w:r>
        <w:rPr>
          <w:b/>
          <w:bCs/>
        </w:rPr>
        <w:t xml:space="preserve">1. What is the Common Domain Model?</w:t>
      </w:r>
    </w:p>
    <w:p>
      <w:pPr>
        <w:spacing w:after="120"/>
      </w:pPr>
      <w:r>
        <w:rPr>
          <w:rFonts w:ascii="Arial" w:cs="Arial" w:eastAsia="Arial" w:hAnsi="Arial"/>
          <w:sz w:val="22"/>
          <w:szCs w:val="22"/>
        </w:rPr>
        <w:t xml:space="preserve">The Common Domain Model is a single, reusable API contract for the Risk Clearance API. It defines a standardised request and response shape that any caller (Rx0, BrokerPortal, future MGA systems, external cedants) can use to search for risk data across any provider, regardless of whether the provider is an internal Databricks database or an external REST API.</w:t>
      </w:r>
    </w:p>
    <w:p>
      <w:pPr>
        <w:spacing w:after="60"/>
      </w:pPr>
    </w:p>
    <w:p>
      <w:pPr>
        <w:spacing w:after="120"/>
      </w:pPr>
      <w:r>
        <w:rPr>
          <w:rFonts w:ascii="Arial" w:cs="Arial" w:eastAsia="Arial" w:hAnsi="Arial"/>
          <w:sz w:val="22"/>
          <w:szCs w:val="22"/>
        </w:rPr>
        <w:t xml:space="preserve">The model separates three concerns cleanly:</w:t>
      </w:r>
    </w:p>
    <w:p>
      <w:pPr>
        <w:pStyle w:val="ListParagraph"/>
        <w:numPr>
          <w:ilvl w:val="0"/>
          <w:numId w:val="2"/>
        </w:numPr>
        <w:spacing w:after="80"/>
      </w:pPr>
      <w:r>
        <w:rPr>
          <w:rFonts w:ascii="Arial" w:cs="Arial" w:eastAsia="Arial" w:hAnsi="Arial"/>
          <w:b/>
          <w:bCs/>
          <w:sz w:val="22"/>
          <w:szCs w:val="22"/>
        </w:rPr>
        <w:t xml:space="preserve">Request Body (Domain): </w:t>
      </w:r>
      <w:r>
        <w:rPr>
          <w:rFonts w:ascii="Arial" w:cs="Arial" w:eastAsia="Arial" w:hAnsi="Arial"/>
          <w:sz w:val="22"/>
          <w:szCs w:val="22"/>
        </w:rPr>
        <w:t xml:space="preserve">Contains only domain language — who is the insured, what coverage, what transaction types to search, and with what thresholds. This is the common domain model.</w:t>
      </w:r>
    </w:p>
    <w:p>
      <w:pPr>
        <w:pStyle w:val="ListParagraph"/>
        <w:numPr>
          <w:ilvl w:val="0"/>
          <w:numId w:val="2"/>
        </w:numPr>
        <w:spacing w:after="80"/>
      </w:pPr>
      <w:r>
        <w:rPr>
          <w:rFonts w:ascii="Arial" w:cs="Arial" w:eastAsia="Arial" w:hAnsi="Arial"/>
          <w:b/>
          <w:bCs/>
          <w:sz w:val="22"/>
          <w:szCs w:val="22"/>
        </w:rPr>
        <w:t xml:space="preserve">HTTP Headers (Envelope + Routing): </w:t>
      </w:r>
      <w:r>
        <w:rPr>
          <w:rFonts w:ascii="Arial" w:cs="Arial" w:eastAsia="Arial" w:hAnsi="Arial"/>
          <w:sz w:val="22"/>
          <w:szCs w:val="22"/>
        </w:rPr>
        <w:t xml:space="preserve">Carries infrastructure concerns — who is calling, correlation ID, which provider to route to. Not part of the domain model.</w:t>
      </w:r>
    </w:p>
    <w:p>
      <w:pPr>
        <w:pStyle w:val="ListParagraph"/>
        <w:numPr>
          <w:ilvl w:val="0"/>
          <w:numId w:val="2"/>
        </w:numPr>
        <w:spacing w:after="80"/>
      </w:pPr>
      <w:r>
        <w:rPr>
          <w:rFonts w:ascii="Arial" w:cs="Arial" w:eastAsia="Arial" w:hAnsi="Arial"/>
          <w:b/>
          <w:bCs/>
          <w:sz w:val="22"/>
          <w:szCs w:val="22"/>
        </w:rPr>
        <w:t xml:space="preserve">Server-Side Configuration (Infrastructure): </w:t>
      </w:r>
      <w:r>
        <w:rPr>
          <w:rFonts w:ascii="Arial" w:cs="Arial" w:eastAsia="Arial" w:hAnsi="Arial"/>
          <w:sz w:val="22"/>
          <w:szCs w:val="22"/>
        </w:rPr>
        <w:t xml:space="preserve">Stores how to connect to each provider — base URLs, authentication, timeouts, retry policies, secrets. Never exposed in the request or response.</w:t>
      </w:r>
    </w:p>
    <w:p>
      <w:pPr>
        <w:spacing w:after="60"/>
      </w:pPr>
    </w:p>
    <w:p>
      <w:pPr>
        <w:spacing w:after="120"/>
      </w:pPr>
      <w:r>
        <w:rPr>
          <w:rFonts w:ascii="Arial" w:cs="Arial" w:eastAsia="Arial" w:hAnsi="Arial"/>
          <w:sz w:val="22"/>
          <w:szCs w:val="22"/>
        </w:rPr>
        <w:t xml:space="preserve">The key benefit: any new caller sends the same body shape. Any new provider receives the same adapter interface. The model does not change when callers or providers are added.</w:t>
      </w:r>
    </w:p>
    <w:p>
      <w:pPr>
        <w:pBdr>
          <w:bottom w:val="single" w:color="1B4F72" w:sz="4" w:space="1"/>
        </w:pBdr>
        <w:spacing w:after="200" w:before="200"/>
      </w:pPr>
    </w:p>
    <w:p>
      <w:pPr>
        <w:pStyle w:val="Heading1"/>
        <w:spacing w:after="200" w:before="360"/>
      </w:pPr>
      <w:r>
        <w:rPr>
          <w:b/>
          <w:bCs/>
        </w:rPr>
        <w:t xml:space="preserve">2. API Contract</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Property</w:t>
            </w:r>
          </w:p>
        </w:tc>
        <w:tc>
          <w:tcPr>
            <w:tcW w:type="dxa" w:w="62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w:t>
            </w:r>
          </w:p>
        </w:tc>
      </w:tr>
      <w:tr>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Endpoint</w:t>
            </w:r>
          </w:p>
        </w:tc>
        <w:tc>
          <w:tcPr>
            <w:tcW w:type="dxa" w:w="62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POST /risks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Base URL (Prod)</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https://api.mrsgm.com/ceded-re/v1</w:t>
            </w:r>
          </w:p>
        </w:tc>
      </w:tr>
      <w:tr>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Base URL (UAT)</w:t>
            </w:r>
          </w:p>
        </w:tc>
        <w:tc>
          <w:tcPr>
            <w:tcW w:type="dxa" w:w="62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https://api-uat.mrsgm.com/ceded-re/v1</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Authentication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JWT Bearer (Azure AD / B2C) + APIM Subscription Key</w:t>
            </w:r>
          </w:p>
        </w:tc>
      </w:tr>
      <w:tr>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Content-Type</w:t>
            </w:r>
          </w:p>
        </w:tc>
        <w:tc>
          <w:tcPr>
            <w:tcW w:type="dxa" w:w="62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application/json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Async Pattern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Durable Functions — 202 Accepted + status polling URL</w:t>
            </w:r>
          </w:p>
        </w:tc>
      </w:tr>
    </w:tbl>
    <w:p>
      <w:pPr>
        <w:spacing w:after="60"/>
      </w:pPr>
    </w:p>
    <w:p>
      <w:pPr>
        <w:pStyle w:val="Heading2"/>
        <w:spacing w:after="160" w:before="280"/>
      </w:pPr>
      <w:r>
        <w:rPr>
          <w:b/>
          <w:bCs/>
        </w:rPr>
        <w:t xml:space="preserve">2.1 HTTP Headers</w:t>
      </w:r>
    </w:p>
    <w:p>
      <w:pPr>
        <w:spacing w:after="120"/>
      </w:pPr>
      <w:r>
        <w:rPr>
          <w:rFonts w:ascii="Arial" w:cs="Arial" w:eastAsia="Arial" w:hAnsi="Arial"/>
          <w:sz w:val="22"/>
          <w:szCs w:val="22"/>
        </w:rPr>
        <w:t xml:space="preserve">Infrastructure concerns are separated from the domain model and conveyed via HTTP headers: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900"/>
        <w:gridCol w:w="3600"/>
        <w:gridCol w:w="2160"/>
      </w:tblGrid>
      <w:tr>
        <w:trPr>
          <w:tblHeader/>
        </w:trPr>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Header</w:t>
            </w:r>
          </w:p>
        </w:tc>
        <w:tc>
          <w:tcPr>
            <w:tcW w:type="dxa" w:w="9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Required</w:t>
            </w:r>
          </w:p>
        </w:tc>
        <w:tc>
          <w:tcPr>
            <w:tcW w:type="dxa" w:w="9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3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2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Example</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X-Entity</w:t>
            </w:r>
          </w:p>
        </w:tc>
        <w:tc>
          <w:tcPr>
            <w:tcW w:type="dxa" w:w="9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Yes</w:t>
            </w:r>
          </w:p>
        </w:tc>
        <w:tc>
          <w:tcPr>
            <w:tcW w:type="dxa" w:w="9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string</w:t>
            </w:r>
          </w:p>
        </w:tc>
        <w:tc>
          <w:tcPr>
            <w:tcW w:type="dxa" w:w="3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Entity identifier</w:t>
            </w:r>
          </w:p>
        </w:tc>
        <w:tc>
          <w:tcPr>
            <w:tcW w:type="dxa" w:w="2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MRSI</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X-Product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Product identifier</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Casualty</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X-SourceId</w:t>
            </w:r>
          </w:p>
        </w:tc>
        <w:tc>
          <w:tcPr>
            <w:tcW w:type="dxa" w:w="9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Yes</w:t>
            </w:r>
          </w:p>
        </w:tc>
        <w:tc>
          <w:tcPr>
            <w:tcW w:type="dxa" w:w="9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string</w:t>
            </w:r>
          </w:p>
        </w:tc>
        <w:tc>
          <w:tcPr>
            <w:tcW w:type="dxa" w:w="3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Source system identifier</w:t>
            </w:r>
          </w:p>
        </w:tc>
        <w:tc>
          <w:tcPr>
            <w:tcW w:type="dxa" w:w="2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Rx0</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X-SourceInfo</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Additional source metadata</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Rx0:RiskClearanceSearch</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X-CorrelationId</w:t>
            </w:r>
          </w:p>
        </w:tc>
        <w:tc>
          <w:tcPr>
            <w:tcW w:type="dxa" w:w="9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No</w:t>
            </w:r>
          </w:p>
        </w:tc>
        <w:tc>
          <w:tcPr>
            <w:tcW w:type="dxa" w:w="9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string</w:t>
            </w:r>
          </w:p>
        </w:tc>
        <w:tc>
          <w:tcPr>
            <w:tcW w:type="dxa" w:w="3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Source system correlation ID for distributed tracing</w:t>
            </w:r>
          </w:p>
        </w:tc>
        <w:tc>
          <w:tcPr>
            <w:tcW w:type="dxa" w:w="2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RC-20260305-778899</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X-Risk-Data-Provider</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 provider to search. System resolves connection details from config.</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GSIDataPlatform</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traceparent</w:t>
            </w:r>
          </w:p>
        </w:tc>
        <w:tc>
          <w:tcPr>
            <w:tcW w:type="dxa" w:w="9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No</w:t>
            </w:r>
          </w:p>
        </w:tc>
        <w:tc>
          <w:tcPr>
            <w:tcW w:type="dxa" w:w="9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string</w:t>
            </w:r>
          </w:p>
        </w:tc>
        <w:tc>
          <w:tcPr>
            <w:tcW w:type="dxa" w:w="3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W3C Trace Context header for distributed tracing</w:t>
            </w:r>
          </w:p>
        </w:tc>
        <w:tc>
          <w:tcPr>
            <w:tcW w:type="dxa" w:w="2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00-0af7...</w:t>
            </w:r>
          </w:p>
        </w:tc>
      </w:tr>
    </w:tbl>
    <w:p>
      <w:r>
        <w:br w:type="page"/>
      </w:r>
    </w:p>
    <w:p>
      <w:pPr>
        <w:pStyle w:val="Heading1"/>
        <w:spacing w:after="200" w:before="360"/>
      </w:pPr>
      <w:r>
        <w:rPr>
          <w:b/>
          <w:bCs/>
        </w:rPr>
        <w:t xml:space="preserve">3. Request Schema (Common Domain Model)</w:t>
      </w:r>
    </w:p>
    <w:p>
      <w:pPr>
        <w:spacing w:after="120"/>
      </w:pPr>
      <w:r>
        <w:rPr>
          <w:rFonts w:ascii="Arial" w:cs="Arial" w:eastAsia="Arial" w:hAnsi="Arial"/>
          <w:sz w:val="22"/>
          <w:szCs w:val="22"/>
        </w:rPr>
        <w:t xml:space="preserve">The request body has three sections: insuredDetails (who), coverageDetails (what class), and searchCriteria (how to search). Each field is described below.</w:t>
      </w:r>
    </w:p>
    <w:p>
      <w:pPr>
        <w:spacing w:after="60"/>
      </w:pPr>
    </w:p>
    <w:p>
      <w:pPr>
        <w:pStyle w:val="Heading2"/>
        <w:spacing w:after="160" w:before="280"/>
      </w:pPr>
      <w:r>
        <w:rPr>
          <w:b/>
          <w:bCs/>
        </w:rPr>
        <w:t xml:space="preserve">3.1 Root Object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000"/>
        <w:gridCol w:w="4960"/>
      </w:tblGrid>
      <w:tr>
        <w:trPr>
          <w:tblHeader/>
        </w:trP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1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Required</w:t>
            </w:r>
          </w:p>
        </w:tc>
        <w:tc>
          <w:tcPr>
            <w:tcW w:type="dxa" w:w="49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insuredDetails</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array</w:t>
            </w:r>
          </w:p>
        </w:tc>
        <w:tc>
          <w:tcPr>
            <w:tcW w:type="dxa" w:w="1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Yes</w:t>
            </w:r>
          </w:p>
        </w:tc>
        <w:tc>
          <w:tcPr>
            <w:tcW w:type="dxa" w:w="4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One or more insured entities to search for. Min 1.</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coverageDetails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object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Coverage and line of business information.</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searchCriteria</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array</w:t>
            </w:r>
          </w:p>
        </w:tc>
        <w:tc>
          <w:tcPr>
            <w:tcW w:type="dxa" w:w="1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Yes</w:t>
            </w:r>
          </w:p>
        </w:tc>
        <w:tc>
          <w:tcPr>
            <w:tcW w:type="dxa" w:w="4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Transaction type search settings. Each entry specifies a transaction type, data sources, and search thresholds. Min 1.</w:t>
            </w:r>
          </w:p>
        </w:tc>
      </w:tr>
    </w:tbl>
    <w:p>
      <w:pPr>
        <w:spacing w:after="60"/>
      </w:pPr>
    </w:p>
    <w:p>
      <w:pPr>
        <w:pStyle w:val="Heading2"/>
        <w:spacing w:after="160" w:before="280"/>
      </w:pPr>
      <w:r>
        <w:rPr>
          <w:b/>
          <w:bCs/>
        </w:rPr>
        <w:t xml:space="preserve">3.2 insuredDetails[]</w:t>
      </w:r>
    </w:p>
    <w:p>
      <w:pPr>
        <w:spacing w:after="120"/>
      </w:pPr>
      <w:r>
        <w:rPr>
          <w:rFonts w:ascii="Arial" w:cs="Arial" w:eastAsia="Arial" w:hAnsi="Arial"/>
          <w:sz w:val="22"/>
          <w:szCs w:val="22"/>
        </w:rPr>
        <w:t xml:space="preserve">Each entry describes an insured entity to search for:</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900"/>
        <w:gridCol w:w="3800"/>
        <w:gridCol w:w="1960"/>
      </w:tblGrid>
      <w:tr>
        <w:trPr>
          <w:tblHeader/>
        </w:trPr>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9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9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Required</w:t>
            </w:r>
          </w:p>
        </w:tc>
        <w:tc>
          <w:tcPr>
            <w:tcW w:type="dxa" w:w="3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19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Example</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entityName</w:t>
            </w:r>
          </w:p>
        </w:tc>
        <w:tc>
          <w:tcPr>
            <w:tcW w:type="dxa" w:w="9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string</w:t>
            </w:r>
          </w:p>
        </w:tc>
        <w:tc>
          <w:tcPr>
            <w:tcW w:type="dxa" w:w="9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Yes</w:t>
            </w:r>
          </w:p>
        </w:tc>
        <w:tc>
          <w:tcPr>
            <w:tcW w:type="dxa" w:w="3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Legal name of the insured entity</w:t>
            </w:r>
          </w:p>
        </w:tc>
        <w:tc>
          <w:tcPr>
            <w:tcW w:type="dxa" w:w="1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CocaCola Inc</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entityType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Legal form of the entity</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Corporation</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stateOfDomicile</w:t>
            </w:r>
          </w:p>
        </w:tc>
        <w:tc>
          <w:tcPr>
            <w:tcW w:type="dxa" w:w="9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string</w:t>
            </w:r>
          </w:p>
        </w:tc>
        <w:tc>
          <w:tcPr>
            <w:tcW w:type="dxa" w:w="9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No</w:t>
            </w:r>
          </w:p>
        </w:tc>
        <w:tc>
          <w:tcPr>
            <w:tcW w:type="dxa" w:w="3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State/Province of domicile</w:t>
            </w:r>
          </w:p>
        </w:tc>
        <w:tc>
          <w:tcPr>
            <w:tcW w:type="dxa" w:w="1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IL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dnbNumber</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Dun &amp; Bradstreet D-U-N-S number (9 digits). Pattern: ^\d{9}$</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123456789</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countryCode</w:t>
            </w:r>
          </w:p>
        </w:tc>
        <w:tc>
          <w:tcPr>
            <w:tcW w:type="dxa" w:w="9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string</w:t>
            </w:r>
          </w:p>
        </w:tc>
        <w:tc>
          <w:tcPr>
            <w:tcW w:type="dxa" w:w="9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No</w:t>
            </w:r>
          </w:p>
        </w:tc>
        <w:tc>
          <w:tcPr>
            <w:tcW w:type="dxa" w:w="3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ISO 3166-1 alpha-2 country code. Pattern: ^[A-Z]{2}$</w:t>
            </w:r>
          </w:p>
        </w:tc>
        <w:tc>
          <w:tcPr>
            <w:tcW w:type="dxa" w:w="1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US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identifiers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array</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Typed identifiers (DUNS, LEI, CompaniesHouse, Internal). Each has type + value.</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[{type:DUNS, value:123456789}]</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aliases</w:t>
            </w:r>
          </w:p>
        </w:tc>
        <w:tc>
          <w:tcPr>
            <w:tcW w:type="dxa" w:w="9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string[]</w:t>
            </w:r>
          </w:p>
        </w:tc>
        <w:tc>
          <w:tcPr>
            <w:tcW w:type="dxa" w:w="9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No</w:t>
            </w:r>
          </w:p>
        </w:tc>
        <w:tc>
          <w:tcPr>
            <w:tcW w:type="dxa" w:w="3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Trading names or also-known-as names</w:t>
            </w:r>
          </w:p>
        </w:tc>
        <w:tc>
          <w:tcPr>
            <w:tcW w:type="dxa" w:w="1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["GTC Tradings"]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addresses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array</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Addresses with type (Primary/Secondary/Billing/Mailing), line1, line2, city, region, state, zipCode, country, county</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See example</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industryCode</w:t>
            </w:r>
          </w:p>
        </w:tc>
        <w:tc>
          <w:tcPr>
            <w:tcW w:type="dxa" w:w="9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string</w:t>
            </w:r>
          </w:p>
        </w:tc>
        <w:tc>
          <w:tcPr>
            <w:tcW w:type="dxa" w:w="9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No</w:t>
            </w:r>
          </w:p>
        </w:tc>
        <w:tc>
          <w:tcPr>
            <w:tcW w:type="dxa" w:w="3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Industry classification code</w:t>
            </w:r>
          </w:p>
        </w:tc>
        <w:tc>
          <w:tcPr>
            <w:tcW w:type="dxa" w:w="1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111120</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webAddress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Organisation website URL</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https://cocacola.com</w:t>
            </w:r>
          </w:p>
        </w:tc>
      </w:tr>
    </w:tbl>
    <w:p>
      <w:pPr>
        <w:spacing w:after="60"/>
      </w:pPr>
    </w:p>
    <w:p>
      <w:pPr>
        <w:pStyle w:val="Heading2"/>
        <w:spacing w:after="160" w:before="280"/>
      </w:pPr>
      <w:r>
        <w:rPr>
          <w:b/>
          <w:bCs/>
        </w:rPr>
        <w:t xml:space="preserve">3.3 coverageDetails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1000"/>
        <w:gridCol w:w="3200"/>
        <w:gridCol w:w="1960"/>
      </w:tblGrid>
      <w:tr>
        <w:trPr>
          <w:tblHeader/>
        </w:trP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1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1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Required</w:t>
            </w:r>
          </w:p>
        </w:tc>
        <w:tc>
          <w:tcPr>
            <w:tcW w:type="dxa" w:w="3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19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Example</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lineOfBusiness</w:t>
            </w:r>
          </w:p>
        </w:tc>
        <w:tc>
          <w:tcPr>
            <w:tcW w:type="dxa" w:w="1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No</w:t>
            </w:r>
          </w:p>
        </w:tc>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Line of business to search within</w:t>
            </w:r>
          </w:p>
        </w:tc>
        <w:tc>
          <w:tcPr>
            <w:tcW w:type="dxa" w:w="1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Insurance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subLineOfBusiness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Sub-line of business</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LiquorLiability</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classOfBusiness</w:t>
            </w:r>
          </w:p>
        </w:tc>
        <w:tc>
          <w:tcPr>
            <w:tcW w:type="dxa" w:w="1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Yes</w:t>
            </w:r>
          </w:p>
        </w:tc>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One or more classes of business</w:t>
            </w:r>
          </w:p>
        </w:tc>
        <w:tc>
          <w:tcPr>
            <w:tcW w:type="dxa" w:w="1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["PVT"]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insuranceType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Type of insurance</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Insurance</w:t>
            </w:r>
          </w:p>
        </w:tc>
      </w:tr>
    </w:tbl>
    <w:p>
      <w:pPr>
        <w:spacing w:after="60"/>
      </w:pPr>
    </w:p>
    <w:p>
      <w:pPr>
        <w:pStyle w:val="Heading2"/>
        <w:spacing w:after="160" w:before="280"/>
      </w:pPr>
      <w:r>
        <w:rPr>
          <w:b/>
          <w:bCs/>
        </w:rPr>
        <w:t xml:space="preserve">3.4 searchCriteria[]</w:t>
      </w:r>
    </w:p>
    <w:p>
      <w:pPr>
        <w:spacing w:after="120"/>
      </w:pPr>
      <w:r>
        <w:rPr>
          <w:rFonts w:ascii="Arial" w:cs="Arial" w:eastAsia="Arial" w:hAnsi="Arial"/>
          <w:sz w:val="22"/>
          <w:szCs w:val="22"/>
        </w:rPr>
        <w:t xml:space="preserve">Each entry specifies a transaction type, the data sources to search for that type, and its search settings. Different transaction types can have different data sources, thresholds, search periods, and status filters.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1000"/>
        <w:gridCol w:w="3800"/>
        <w:gridCol w:w="1360"/>
      </w:tblGrid>
      <w:tr>
        <w:trPr>
          <w:tblHeader/>
        </w:trP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1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1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Required</w:t>
            </w:r>
          </w:p>
        </w:tc>
        <w:tc>
          <w:tcPr>
            <w:tcW w:type="dxa" w:w="3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1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Example</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transactionType</w:t>
            </w:r>
          </w:p>
        </w:tc>
        <w:tc>
          <w:tcPr>
            <w:tcW w:type="dxa" w:w="1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enum</w:t>
            </w:r>
          </w:p>
        </w:tc>
        <w:tc>
          <w:tcPr>
            <w:tcW w:type="dxa" w:w="1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Yes</w:t>
            </w:r>
          </w:p>
        </w:tc>
        <w:tc>
          <w:tcPr>
            <w:tcW w:type="dxa" w:w="3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Transaction type to search: Policy, Quote, Submission, Endorsement, Renewal, Claim</w:t>
            </w:r>
          </w:p>
        </w:tc>
        <w:tc>
          <w:tcPr>
            <w:tcW w:type="dxa" w:w="1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Policy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dataSources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Specific data sources within the provider to search for this transaction type. Scoped to the provider in X-Risk-Data-Provider header (e.g. S2000, Majesco, Rx0 for GSIDataPlatform; Eclipse, Genius for LloydsMDR). Min 1.</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["S2000","Majesco"]</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confidenceScore</w:t>
            </w:r>
          </w:p>
        </w:tc>
        <w:tc>
          <w:tcPr>
            <w:tcW w:type="dxa" w:w="1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integer</w:t>
            </w:r>
          </w:p>
        </w:tc>
        <w:tc>
          <w:tcPr>
            <w:tcW w:type="dxa" w:w="1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Yes</w:t>
            </w:r>
          </w:p>
        </w:tc>
        <w:tc>
          <w:tcPr>
            <w:tcW w:type="dxa" w:w="3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Minimum confidence threshold (0-100). Defined by the source provider, passed through to the data provider as a filter. The provider's matching algorithm scores each result and filters below this.</w:t>
            </w:r>
          </w:p>
        </w:tc>
        <w:tc>
          <w:tcPr>
            <w:tcW w:type="dxa" w:w="1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50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searchPeriodMonths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integer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How many months back to search from request timestamp. Min 1, Max 120.</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numberOfResults</w:t>
            </w:r>
          </w:p>
        </w:tc>
        <w:tc>
          <w:tcPr>
            <w:tcW w:type="dxa" w:w="1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integer</w:t>
            </w:r>
          </w:p>
        </w:tc>
        <w:tc>
          <w:tcPr>
            <w:tcW w:type="dxa" w:w="1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Yes</w:t>
            </w:r>
          </w:p>
        </w:tc>
        <w:tc>
          <w:tcPr>
            <w:tcW w:type="dxa" w:w="3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Maximum results to return for this transaction type. Min 1, Max 100.</w:t>
            </w:r>
          </w:p>
        </w:tc>
        <w:tc>
          <w:tcPr>
            <w:tcW w:type="dxa" w:w="1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10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statusFilter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enum[]</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Only return transactions with these statuses: Bound, Cancelled, Quoted, Referred, Declined, NotTakenUp, Expired, InForce, Received, Cleared, NotCleared, NotReviewed</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["Bound","Cancelled"]</w:t>
            </w:r>
          </w:p>
        </w:tc>
      </w:tr>
    </w:tbl>
    <w:p>
      <w:r>
        <w:br w:type="page"/>
      </w:r>
    </w:p>
    <w:p>
      <w:pPr>
        <w:pStyle w:val="Heading1"/>
        <w:spacing w:after="200" w:before="360"/>
      </w:pPr>
      <w:r>
        <w:rPr>
          <w:b/>
          <w:bCs/>
        </w:rPr>
        <w:t xml:space="preserve">4. Response Schema</w:t>
      </w:r>
    </w:p>
    <w:p>
      <w:pPr>
        <w:spacing w:after="120"/>
      </w:pPr>
      <w:r>
        <w:rPr>
          <w:rFonts w:ascii="Arial" w:cs="Arial" w:eastAsia="Arial" w:hAnsi="Arial"/>
          <w:sz w:val="22"/>
          <w:szCs w:val="22"/>
        </w:rPr>
        <w:t xml:space="preserve">The response has two layers: an envelope (status, total count, errors) and a array of risk records. Each risk is a self-contained record from a single data source within the provider.</w:t>
      </w:r>
    </w:p>
    <w:p>
      <w:pPr>
        <w:spacing w:after="60"/>
      </w:pPr>
    </w:p>
    <w:p>
      <w:pPr>
        <w:pStyle w:val="Heading2"/>
        <w:spacing w:after="160" w:before="280"/>
      </w:pPr>
      <w:r>
        <w:rPr>
          <w:b/>
          <w:bCs/>
        </w:rPr>
        <w:t xml:space="preserve">4.1 Envelope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3800"/>
        <w:gridCol w:w="1960"/>
      </w:tblGrid>
      <w:tr>
        <w:trPr>
          <w:tblHeader/>
        </w:trP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1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3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19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Example</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correlationId</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string</w:t>
            </w:r>
          </w:p>
        </w:tc>
        <w:tc>
          <w:tcPr>
            <w:tcW w:type="dxa" w:w="3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Echoed from X-CorrelationId header for tracing</w:t>
            </w:r>
          </w:p>
        </w:tc>
        <w:tc>
          <w:tcPr>
            <w:tcW w:type="dxa" w:w="1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RC-20260305-778899</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responseTimestamp</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date-time</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ISO 8601 timestamp of when the response was generated</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2026-03-05T12:10:30Z</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status</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enum</w:t>
            </w:r>
          </w:p>
        </w:tc>
        <w:tc>
          <w:tcPr>
            <w:tcW w:type="dxa" w:w="3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Overall request status: SUCCESS, FAILED, PARTIAL</w:t>
            </w:r>
          </w:p>
        </w:tc>
        <w:tc>
          <w:tcPr>
            <w:tcW w:type="dxa" w:w="1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SUCCESS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totalCount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integer</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Total number of risk records returned</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errorCode</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string | null</w:t>
            </w:r>
          </w:p>
        </w:tc>
        <w:tc>
          <w:tcPr>
            <w:tcW w:type="dxa" w:w="3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Error code if status is FAILED or PARTIAL: PROVIDER_TIMEOUT, PROVIDER_ERROR, PROVIDER_UNAVAILABLE, AUTHENTICATION_FAILED, QUERY_ERROR</w:t>
            </w:r>
          </w:p>
        </w:tc>
        <w:tc>
          <w:tcPr>
            <w:tcW w:type="dxa" w:w="1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null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errorMessage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 | null</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Human-readable error message (only present on failure)</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null</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risks</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array</w:t>
            </w:r>
          </w:p>
        </w:tc>
        <w:tc>
          <w:tcPr>
            <w:tcW w:type="dxa" w:w="3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Array of risk records (see 4.2)</w:t>
            </w:r>
          </w:p>
        </w:tc>
        <w:tc>
          <w:tcPr>
            <w:tcW w:type="dxa" w:w="1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See below</w:t>
            </w:r>
          </w:p>
        </w:tc>
      </w:tr>
    </w:tbl>
    <w:p>
      <w:pPr>
        <w:spacing w:after="60"/>
      </w:pPr>
    </w:p>
    <w:p>
      <w:pPr>
        <w:pStyle w:val="Heading2"/>
        <w:spacing w:after="160" w:before="280"/>
      </w:pPr>
      <w:r>
        <w:rPr>
          <w:b/>
          <w:bCs/>
        </w:rPr>
        <w:t xml:space="preserve">4.2 risks[] — RiskMatch</w:t>
      </w:r>
    </w:p>
    <w:p>
      <w:pPr>
        <w:spacing w:after="120"/>
      </w:pPr>
      <w:r>
        <w:rPr>
          <w:rFonts w:ascii="Arial" w:cs="Arial" w:eastAsia="Arial" w:hAnsi="Arial"/>
          <w:sz w:val="22"/>
          <w:szCs w:val="22"/>
        </w:rPr>
        <w:t xml:space="preserve">Each risk record is a flat object representing a single match from a specific data source. The provider and source are identified so the caller knows where the match came from.</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700"/>
        <w:gridCol w:w="3600"/>
        <w:gridCol w:w="1960"/>
      </w:tblGrid>
      <w:tr>
        <w:trPr>
          <w:tblHeader/>
        </w:trP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9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7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Nullable</w:t>
            </w:r>
          </w:p>
        </w:tc>
        <w:tc>
          <w:tcPr>
            <w:tcW w:type="dxa" w:w="3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19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Example</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provider</w:t>
            </w:r>
          </w:p>
        </w:tc>
        <w:tc>
          <w:tcPr>
            <w:tcW w:type="dxa" w:w="9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string</w:t>
            </w:r>
          </w:p>
        </w:tc>
        <w:tc>
          <w:tcPr>
            <w:tcW w:type="dxa" w:w="7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No</w:t>
            </w:r>
          </w:p>
        </w:tc>
        <w:tc>
          <w:tcPr>
            <w:tcW w:type="dxa" w:w="3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The provider that returned this risk record. Echoes the X-Risk-Data-Provider header value.</w:t>
            </w:r>
          </w:p>
        </w:tc>
        <w:tc>
          <w:tcPr>
            <w:tcW w:type="dxa" w:w="1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GSIDataPlatform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dataSource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specific data source within the provider that produced this risk record. Corresponds to the dataSources values in the request.</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S2000</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transactionType</w:t>
            </w:r>
          </w:p>
        </w:tc>
        <w:tc>
          <w:tcPr>
            <w:tcW w:type="dxa" w:w="9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enum</w:t>
            </w:r>
          </w:p>
        </w:tc>
        <w:tc>
          <w:tcPr>
            <w:tcW w:type="dxa" w:w="7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No</w:t>
            </w:r>
          </w:p>
        </w:tc>
        <w:tc>
          <w:tcPr>
            <w:tcW w:type="dxa" w:w="3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Type of transaction: Policy, Quote, Submission, Endorsement, Renewal, Claim</w:t>
            </w:r>
          </w:p>
        </w:tc>
        <w:tc>
          <w:tcPr>
            <w:tcW w:type="dxa" w:w="1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Policy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entityName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Insured entity name as found in the source system. May differ from the request entityName due to name variations across sources.</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CocaCola</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uniqueId</w:t>
            </w:r>
          </w:p>
        </w:tc>
        <w:tc>
          <w:tcPr>
            <w:tcW w:type="dxa" w:w="9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string</w:t>
            </w:r>
          </w:p>
        </w:tc>
        <w:tc>
          <w:tcPr>
            <w:tcW w:type="dxa" w:w="7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No</w:t>
            </w:r>
          </w:p>
        </w:tc>
        <w:tc>
          <w:tcPr>
            <w:tcW w:type="dxa" w:w="3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Unique identifier of the insured entity in the source system</w:t>
            </w:r>
          </w:p>
        </w:tc>
        <w:tc>
          <w:tcPr>
            <w:tcW w:type="dxa" w:w="1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123456789</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dbaAka</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Trading name or also-known-as name</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GTC Tradings</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partyRole</w:t>
            </w:r>
          </w:p>
        </w:tc>
        <w:tc>
          <w:tcPr>
            <w:tcW w:type="dxa" w:w="9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enum</w:t>
            </w:r>
          </w:p>
        </w:tc>
        <w:tc>
          <w:tcPr>
            <w:tcW w:type="dxa" w:w="7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No</w:t>
            </w:r>
          </w:p>
        </w:tc>
        <w:tc>
          <w:tcPr>
            <w:tcW w:type="dxa" w:w="3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Role of the matched party: Insured, Broker, Reinsurer, Cedant</w:t>
            </w:r>
          </w:p>
        </w:tc>
        <w:tc>
          <w:tcPr>
            <w:tcW w:type="dxa" w:w="1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Insured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insuranceType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Type of insurance</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Insurance</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lineOfBusiness</w:t>
            </w:r>
          </w:p>
        </w:tc>
        <w:tc>
          <w:tcPr>
            <w:tcW w:type="dxa" w:w="9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string</w:t>
            </w:r>
          </w:p>
        </w:tc>
        <w:tc>
          <w:tcPr>
            <w:tcW w:type="dxa" w:w="7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No</w:t>
            </w:r>
          </w:p>
        </w:tc>
        <w:tc>
          <w:tcPr>
            <w:tcW w:type="dxa" w:w="3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Line of business of the matched transaction</w:t>
            </w:r>
          </w:p>
        </w:tc>
        <w:tc>
          <w:tcPr>
            <w:tcW w:type="dxa" w:w="1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Insurance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classOfBusiness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Class of business of the matched transaction</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PVT</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reference</w:t>
            </w:r>
          </w:p>
        </w:tc>
        <w:tc>
          <w:tcPr>
            <w:tcW w:type="dxa" w:w="9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string</w:t>
            </w:r>
          </w:p>
        </w:tc>
        <w:tc>
          <w:tcPr>
            <w:tcW w:type="dxa" w:w="7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No</w:t>
            </w:r>
          </w:p>
        </w:tc>
        <w:tc>
          <w:tcPr>
            <w:tcW w:type="dxa" w:w="3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Transaction reference number from the source system</w:t>
            </w:r>
          </w:p>
        </w:tc>
        <w:tc>
          <w:tcPr>
            <w:tcW w:type="dxa" w:w="1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MR-TR-00000010-02</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inceptionDate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Inception date (YYYY-MM-DD)</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2026-02-27</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expiryDate</w:t>
            </w:r>
          </w:p>
        </w:tc>
        <w:tc>
          <w:tcPr>
            <w:tcW w:type="dxa" w:w="9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date</w:t>
            </w:r>
          </w:p>
        </w:tc>
        <w:tc>
          <w:tcPr>
            <w:tcW w:type="dxa" w:w="7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Yes</w:t>
            </w:r>
          </w:p>
        </w:tc>
        <w:tc>
          <w:tcPr>
            <w:tcW w:type="dxa" w:w="3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Expiry date (YYYY-MM-DD)</w:t>
            </w:r>
          </w:p>
        </w:tc>
        <w:tc>
          <w:tcPr>
            <w:tcW w:type="dxa" w:w="1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2027-02-26</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status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enum</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Transaction status: Bound, Cancelled, Quoted, Referred, Declined, NotTakenUp, Expired, InForce, etc.</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Bound</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newOrRenewal</w:t>
            </w:r>
          </w:p>
        </w:tc>
        <w:tc>
          <w:tcPr>
            <w:tcW w:type="dxa" w:w="9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enum</w:t>
            </w:r>
          </w:p>
        </w:tc>
        <w:tc>
          <w:tcPr>
            <w:tcW w:type="dxa" w:w="7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No</w:t>
            </w:r>
          </w:p>
        </w:tc>
        <w:tc>
          <w:tcPr>
            <w:tcW w:type="dxa" w:w="3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Whether new business or renewal: New, Renewal</w:t>
            </w:r>
          </w:p>
        </w:tc>
        <w:tc>
          <w:tcPr>
            <w:tcW w:type="dxa" w:w="1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New</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renewalDate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Renewal date if applicable</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null</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isRenewable</w:t>
            </w:r>
          </w:p>
        </w:tc>
        <w:tc>
          <w:tcPr>
            <w:tcW w:type="dxa" w:w="9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boolean</w:t>
            </w:r>
          </w:p>
        </w:tc>
        <w:tc>
          <w:tcPr>
            <w:tcW w:type="dxa" w:w="7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No</w:t>
            </w:r>
          </w:p>
        </w:tc>
        <w:tc>
          <w:tcPr>
            <w:tcW w:type="dxa" w:w="3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Whether the policy is renewable</w:t>
            </w:r>
          </w:p>
        </w:tc>
        <w:tc>
          <w:tcPr>
            <w:tcW w:type="dxa" w:w="1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true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cancelDeclineReason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Reason for cancellation or decline</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null</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cancelDeclineDate</w:t>
            </w:r>
          </w:p>
        </w:tc>
        <w:tc>
          <w:tcPr>
            <w:tcW w:type="dxa" w:w="9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date</w:t>
            </w:r>
          </w:p>
        </w:tc>
        <w:tc>
          <w:tcPr>
            <w:tcW w:type="dxa" w:w="7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Yes</w:t>
            </w:r>
          </w:p>
        </w:tc>
        <w:tc>
          <w:tcPr>
            <w:tcW w:type="dxa" w:w="3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Date of cancellation or decline</w:t>
            </w:r>
          </w:p>
        </w:tc>
        <w:tc>
          <w:tcPr>
            <w:tcW w:type="dxa" w:w="1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null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insuredAssetType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Type of insured asset</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Property</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insuredPropertyType</w:t>
            </w:r>
          </w:p>
        </w:tc>
        <w:tc>
          <w:tcPr>
            <w:tcW w:type="dxa" w:w="9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string</w:t>
            </w:r>
          </w:p>
        </w:tc>
        <w:tc>
          <w:tcPr>
            <w:tcW w:type="dxa" w:w="7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Yes</w:t>
            </w:r>
          </w:p>
        </w:tc>
        <w:tc>
          <w:tcPr>
            <w:tcW w:type="dxa" w:w="3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Property type classification</w:t>
            </w:r>
          </w:p>
        </w:tc>
        <w:tc>
          <w:tcPr>
            <w:tcW w:type="dxa" w:w="1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Commercial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confidenceScore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integer</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Match confidence score (0-100) as computed by the provider. Note: normalised to integer in the common model even if source returns string.</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80</w:t>
            </w:r>
          </w:p>
        </w:tc>
      </w:tr>
    </w:tbl>
    <w:p>
      <w:r>
        <w:br w:type="page"/>
      </w:r>
    </w:p>
    <w:p>
      <w:pPr>
        <w:pStyle w:val="Heading1"/>
        <w:spacing w:after="200" w:before="360"/>
      </w:pPr>
      <w:r>
        <w:rPr>
          <w:b/>
          <w:bCs/>
        </w:rPr>
        <w:t xml:space="preserve">5. Error Responses</w:t>
      </w:r>
    </w:p>
    <w:p>
      <w:pPr>
        <w:spacing w:after="120"/>
      </w:pPr>
      <w:r>
        <w:rPr>
          <w:rFonts w:ascii="Arial" w:cs="Arial" w:eastAsia="Arial" w:hAnsi="Arial"/>
          <w:sz w:val="22"/>
          <w:szCs w:val="22"/>
        </w:rPr>
        <w:t xml:space="preserve">The API returns distinct HTTP status codes for different error categories. All error responses include the correlationId and a consistent error schema.</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2400"/>
        <w:gridCol w:w="3560"/>
      </w:tblGrid>
      <w:tr>
        <w:trPr>
          <w:tblHeader/>
        </w:trPr>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HTTP Status</w:t>
            </w:r>
          </w:p>
        </w:tc>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Error Code</w:t>
            </w:r>
          </w:p>
        </w:tc>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Meaning</w:t>
            </w:r>
          </w:p>
        </w:tc>
        <w:tc>
          <w:tcPr>
            <w:tcW w:type="dxa" w:w="3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When</w:t>
            </w:r>
          </w:p>
        </w:tc>
      </w:tr>
      <w:tr>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400</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VALIDATION_ERROR</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Invalid request payload</w:t>
            </w:r>
          </w:p>
        </w:tc>
        <w:tc>
          <w:tcPr>
            <w:tcW w:type="dxa" w:w="3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Missing required fields, invalid enum values, malformed JSON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401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UNAUTHORIZED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Authentication failure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Missing or expired JWT token</w:t>
            </w:r>
          </w:p>
        </w:tc>
      </w:tr>
      <w:tr>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429</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RATE_LIMIT_EXCEEDED</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Too many requests</w:t>
            </w:r>
          </w:p>
        </w:tc>
        <w:tc>
          <w:tcPr>
            <w:tcW w:type="dxa" w:w="3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APIM rate limit exceeded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PROVIDER_ERROR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Provider returned an error</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Databricks query failed, external API returned 5xx</w:t>
            </w:r>
          </w:p>
        </w:tc>
      </w:tr>
      <w:tr>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504</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PROVIDER_TIMEOUT</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Provider did not respond in time</w:t>
            </w:r>
          </w:p>
        </w:tc>
        <w:tc>
          <w:tcPr>
            <w:tcW w:type="dxa" w:w="3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Databricks exceeded 5-minute timeout, external API exceeded configured timeout</w:t>
            </w:r>
          </w:p>
        </w:tc>
      </w:tr>
    </w:tbl>
    <w:p>
      <w:pPr>
        <w:spacing w:after="60"/>
      </w:pPr>
    </w:p>
    <w:p>
      <w:pPr>
        <w:spacing w:after="120"/>
      </w:pPr>
      <w:r>
        <w:rPr>
          <w:rFonts w:ascii="Arial" w:cs="Arial" w:eastAsia="Arial" w:hAnsi="Arial"/>
          <w:sz w:val="22"/>
          <w:szCs w:val="22"/>
        </w:rPr>
        <w:t xml:space="preserve">Error response body:</w:t>
      </w:r>
    </w:p>
    <w:p>
      <w:pPr>
        <w:spacing w:after="0"/>
      </w:pPr>
      <w:r>
        <w:rPr>
          <w:rFonts w:ascii="Consolas" w:cs="Consolas" w:eastAsia="Consolas" w:hAnsi="Consolas"/>
          <w:color w:val="2C3E50"/>
          <w:sz w:val="18"/>
          <w:szCs w:val="18"/>
        </w:rPr>
        <w:t xml:space="preserve">{</w:t>
      </w:r>
    </w:p>
    <w:p>
      <w:pPr>
        <w:spacing w:after="0"/>
      </w:pPr>
      <w:r>
        <w:rPr>
          <w:rFonts w:ascii="Consolas" w:cs="Consolas" w:eastAsia="Consolas" w:hAnsi="Consolas"/>
          <w:color w:val="2C3E50"/>
          <w:sz w:val="18"/>
          <w:szCs w:val="18"/>
        </w:rPr>
        <w:t xml:space="preserve">  "correlationId": "RC-20260305-778899",</w:t>
      </w:r>
    </w:p>
    <w:p>
      <w:pPr>
        <w:spacing w:after="0"/>
      </w:pPr>
      <w:r>
        <w:rPr>
          <w:rFonts w:ascii="Consolas" w:cs="Consolas" w:eastAsia="Consolas" w:hAnsi="Consolas"/>
          <w:color w:val="2C3E50"/>
          <w:sz w:val="18"/>
          <w:szCs w:val="18"/>
        </w:rPr>
        <w:t xml:space="preserve">  "errorCode": "VALIDATION_ERROR",</w:t>
      </w:r>
    </w:p>
    <w:p>
      <w:pPr>
        <w:spacing w:after="0"/>
      </w:pPr>
      <w:r>
        <w:rPr>
          <w:rFonts w:ascii="Consolas" w:cs="Consolas" w:eastAsia="Consolas" w:hAnsi="Consolas"/>
          <w:color w:val="2C3E50"/>
          <w:sz w:val="18"/>
          <w:szCs w:val="18"/>
        </w:rPr>
        <w:t xml:space="preserve">  "errors": [</w:t>
      </w:r>
    </w:p>
    <w:p>
      <w:pPr>
        <w:spacing w:after="0"/>
      </w:pPr>
      <w:r>
        <w:rPr>
          <w:rFonts w:ascii="Consolas" w:cs="Consolas" w:eastAsia="Consolas" w:hAnsi="Consolas"/>
          <w:color w:val="2C3E50"/>
          <w:sz w:val="18"/>
          <w:szCs w:val="18"/>
        </w:rPr>
        <w:t xml:space="preserve">    { "field": "insuredDetails", "message": "At least one insured detail is required" },</w:t>
      </w:r>
    </w:p>
    <w:p>
      <w:pPr>
        <w:spacing w:after="0"/>
      </w:pPr>
      <w:r>
        <w:rPr>
          <w:rFonts w:ascii="Consolas" w:cs="Consolas" w:eastAsia="Consolas" w:hAnsi="Consolas"/>
          <w:color w:val="2C3E50"/>
          <w:sz w:val="18"/>
          <w:szCs w:val="18"/>
        </w:rPr>
        <w:t xml:space="preserve">    { "field": "searchCriteria", "message": "At least one search criteria entry is required" }</w:t>
      </w:r>
    </w:p>
    <w:p>
      <w:pPr>
        <w:spacing w:after="0"/>
      </w:pPr>
      <w:r>
        <w:rPr>
          <w:rFonts w:ascii="Consolas" w:cs="Consolas" w:eastAsia="Consolas" w:hAnsi="Consolas"/>
          <w:color w:val="2C3E50"/>
          <w:sz w:val="18"/>
          <w:szCs w:val="18"/>
        </w:rPr>
        <w:t xml:space="preserve">  ]</w:t>
      </w:r>
    </w:p>
    <w:p>
      <w:pPr>
        <w:spacing w:after="0"/>
      </w:pPr>
      <w:r>
        <w:rPr>
          <w:rFonts w:ascii="Consolas" w:cs="Consolas" w:eastAsia="Consolas" w:hAnsi="Consolas"/>
          <w:color w:val="2C3E50"/>
          <w:sz w:val="18"/>
          <w:szCs w:val="18"/>
        </w:rPr>
        <w:t xml:space="preserve">}</w:t>
      </w:r>
    </w:p>
    <w:p>
      <w:r>
        <w:br w:type="page"/>
      </w:r>
    </w:p>
    <w:p>
      <w:pPr>
        <w:pStyle w:val="Heading1"/>
        <w:spacing w:after="200" w:before="360"/>
      </w:pPr>
      <w:r>
        <w:rPr>
          <w:b/>
          <w:bCs/>
        </w:rPr>
        <w:t xml:space="preserve">6. Full Request/Response Example</w:t>
      </w:r>
    </w:p>
    <w:p>
      <w:pPr>
        <w:pStyle w:val="Heading2"/>
        <w:spacing w:after="160" w:before="280"/>
      </w:pPr>
      <w:r>
        <w:rPr>
          <w:b/>
          <w:bCs/>
        </w:rPr>
        <w:t xml:space="preserve">6.1 Request</w:t>
      </w:r>
    </w:p>
    <w:p>
      <w:pPr>
        <w:spacing w:after="60"/>
      </w:pPr>
    </w:p>
    <w:p>
      <w:pPr>
        <w:spacing w:after="120"/>
      </w:pPr>
      <w:r>
        <w:rPr>
          <w:rFonts w:ascii="Arial" w:cs="Arial" w:eastAsia="Arial" w:hAnsi="Arial"/>
          <w:b/>
          <w:bCs/>
          <w:color w:val="5D6D7E"/>
          <w:sz w:val="22"/>
          <w:szCs w:val="22"/>
        </w:rPr>
        <w:t xml:space="preserve">Headers:</w:t>
      </w:r>
    </w:p>
    <w:p>
      <w:pPr>
        <w:spacing w:after="0"/>
      </w:pPr>
      <w:r>
        <w:rPr>
          <w:rFonts w:ascii="Consolas" w:cs="Consolas" w:eastAsia="Consolas" w:hAnsi="Consolas"/>
          <w:color w:val="2C3E50"/>
          <w:sz w:val="18"/>
          <w:szCs w:val="18"/>
        </w:rPr>
        <w:t xml:space="preserve">POST /risks HTTP/1.1</w:t>
      </w:r>
    </w:p>
    <w:p>
      <w:pPr>
        <w:spacing w:after="0"/>
      </w:pPr>
      <w:r>
        <w:rPr>
          <w:rFonts w:ascii="Consolas" w:cs="Consolas" w:eastAsia="Consolas" w:hAnsi="Consolas"/>
          <w:color w:val="2C3E50"/>
          <w:sz w:val="18"/>
          <w:szCs w:val="18"/>
        </w:rPr>
        <w:t xml:space="preserve">Host: api.mrsgm.com/ceded-re/v1</w:t>
      </w:r>
    </w:p>
    <w:p>
      <w:pPr>
        <w:spacing w:after="0"/>
      </w:pPr>
      <w:r>
        <w:rPr>
          <w:rFonts w:ascii="Consolas" w:cs="Consolas" w:eastAsia="Consolas" w:hAnsi="Consolas"/>
          <w:color w:val="2C3E50"/>
          <w:sz w:val="18"/>
          <w:szCs w:val="18"/>
        </w:rPr>
        <w:t xml:space="preserve">Authorization: Bearer eyJ...</w:t>
      </w:r>
    </w:p>
    <w:p>
      <w:pPr>
        <w:spacing w:after="0"/>
      </w:pPr>
      <w:r>
        <w:rPr>
          <w:rFonts w:ascii="Consolas" w:cs="Consolas" w:eastAsia="Consolas" w:hAnsi="Consolas"/>
          <w:color w:val="2C3E50"/>
          <w:sz w:val="18"/>
          <w:szCs w:val="18"/>
        </w:rPr>
        <w:t xml:space="preserve">Ocp-Apim-Subscription-Key: abc123</w:t>
      </w:r>
    </w:p>
    <w:p>
      <w:pPr>
        <w:spacing w:after="0"/>
      </w:pPr>
      <w:r>
        <w:rPr>
          <w:rFonts w:ascii="Consolas" w:cs="Consolas" w:eastAsia="Consolas" w:hAnsi="Consolas"/>
          <w:color w:val="2C3E50"/>
          <w:sz w:val="18"/>
          <w:szCs w:val="18"/>
        </w:rPr>
        <w:t xml:space="preserve">X-Entity: MRSI</w:t>
      </w:r>
    </w:p>
    <w:p>
      <w:pPr>
        <w:spacing w:after="0"/>
      </w:pPr>
      <w:r>
        <w:rPr>
          <w:rFonts w:ascii="Consolas" w:cs="Consolas" w:eastAsia="Consolas" w:hAnsi="Consolas"/>
          <w:color w:val="2C3E50"/>
          <w:sz w:val="18"/>
          <w:szCs w:val="18"/>
        </w:rPr>
        <w:t xml:space="preserve">X-Product: Casualty</w:t>
      </w:r>
    </w:p>
    <w:p>
      <w:pPr>
        <w:spacing w:after="0"/>
      </w:pPr>
      <w:r>
        <w:rPr>
          <w:rFonts w:ascii="Consolas" w:cs="Consolas" w:eastAsia="Consolas" w:hAnsi="Consolas"/>
          <w:color w:val="2C3E50"/>
          <w:sz w:val="18"/>
          <w:szCs w:val="18"/>
        </w:rPr>
        <w:t xml:space="preserve">X-SourceId: Rx0</w:t>
      </w:r>
    </w:p>
    <w:p>
      <w:pPr>
        <w:spacing w:after="0"/>
      </w:pPr>
      <w:r>
        <w:rPr>
          <w:rFonts w:ascii="Consolas" w:cs="Consolas" w:eastAsia="Consolas" w:hAnsi="Consolas"/>
          <w:color w:val="2C3E50"/>
          <w:sz w:val="18"/>
          <w:szCs w:val="18"/>
        </w:rPr>
        <w:t xml:space="preserve">X-SourceInfo: Rx0:RiskClearanceSearch</w:t>
      </w:r>
    </w:p>
    <w:p>
      <w:pPr>
        <w:spacing w:after="0"/>
      </w:pPr>
      <w:r>
        <w:rPr>
          <w:rFonts w:ascii="Consolas" w:cs="Consolas" w:eastAsia="Consolas" w:hAnsi="Consolas"/>
          <w:color w:val="2C3E50"/>
          <w:sz w:val="18"/>
          <w:szCs w:val="18"/>
        </w:rPr>
        <w:t xml:space="preserve">X-CorrelationId: RC-20260305-778899</w:t>
      </w:r>
    </w:p>
    <w:p>
      <w:pPr>
        <w:spacing w:after="0"/>
      </w:pPr>
      <w:r>
        <w:rPr>
          <w:rFonts w:ascii="Consolas" w:cs="Consolas" w:eastAsia="Consolas" w:hAnsi="Consolas"/>
          <w:color w:val="2C3E50"/>
          <w:sz w:val="18"/>
          <w:szCs w:val="18"/>
        </w:rPr>
        <w:t xml:space="preserve">X-Risk-Data-Provider: GSIDataPlatform</w:t>
      </w:r>
    </w:p>
    <w:p>
      <w:pPr>
        <w:spacing w:after="0"/>
      </w:pPr>
      <w:r>
        <w:rPr>
          <w:rFonts w:ascii="Consolas" w:cs="Consolas" w:eastAsia="Consolas" w:hAnsi="Consolas"/>
          <w:color w:val="2C3E50"/>
          <w:sz w:val="18"/>
          <w:szCs w:val="18"/>
        </w:rPr>
        <w:t xml:space="preserve">Content-Type: application/json</w:t>
      </w:r>
    </w:p>
    <w:p>
      <w:pPr>
        <w:spacing w:after="60"/>
      </w:pPr>
    </w:p>
    <w:p>
      <w:pPr>
        <w:spacing w:after="120"/>
      </w:pPr>
      <w:r>
        <w:rPr>
          <w:rFonts w:ascii="Arial" w:cs="Arial" w:eastAsia="Arial" w:hAnsi="Arial"/>
          <w:b/>
          <w:bCs/>
          <w:color w:val="5D6D7E"/>
          <w:sz w:val="22"/>
          <w:szCs w:val="22"/>
        </w:rPr>
        <w:t xml:space="preserve">Body:</w:t>
      </w:r>
    </w:p>
    <w:p>
      <w:pPr>
        <w:spacing w:after="0"/>
      </w:pPr>
      <w:r>
        <w:rPr>
          <w:rFonts w:ascii="Consolas" w:cs="Consolas" w:eastAsia="Consolas" w:hAnsi="Consolas"/>
          <w:color w:val="2C3E50"/>
          <w:sz w:val="18"/>
          <w:szCs w:val="18"/>
        </w:rPr>
        <w:t xml:space="preserve">{</w:t>
      </w:r>
    </w:p>
    <w:p>
      <w:pPr>
        <w:spacing w:after="0"/>
      </w:pPr>
      <w:r>
        <w:rPr>
          <w:rFonts w:ascii="Consolas" w:cs="Consolas" w:eastAsia="Consolas" w:hAnsi="Consolas"/>
          <w:color w:val="2C3E50"/>
          <w:sz w:val="18"/>
          <w:szCs w:val="18"/>
        </w:rPr>
        <w:t xml:space="preserve">  "insuredDetails": [</w:t>
      </w:r>
    </w:p>
    <w:p>
      <w:pPr>
        <w:spacing w:after="0"/>
      </w:pPr>
      <w:r>
        <w:rPr>
          <w:rFonts w:ascii="Consolas" w:cs="Consolas" w:eastAsia="Consolas" w:hAnsi="Consolas"/>
          <w:color w:val="2C3E50"/>
          <w:sz w:val="18"/>
          <w:szCs w:val="18"/>
        </w:rPr>
        <w:t xml:space="preserve">    {</w:t>
      </w:r>
    </w:p>
    <w:p>
      <w:pPr>
        <w:spacing w:after="0"/>
      </w:pPr>
      <w:r>
        <w:rPr>
          <w:rFonts w:ascii="Consolas" w:cs="Consolas" w:eastAsia="Consolas" w:hAnsi="Consolas"/>
          <w:color w:val="2C3E50"/>
          <w:sz w:val="18"/>
          <w:szCs w:val="18"/>
        </w:rPr>
        <w:t xml:space="preserve">      "entityName": "CocaCola Inc",</w:t>
      </w:r>
    </w:p>
    <w:p>
      <w:pPr>
        <w:spacing w:after="0"/>
      </w:pPr>
      <w:r>
        <w:rPr>
          <w:rFonts w:ascii="Consolas" w:cs="Consolas" w:eastAsia="Consolas" w:hAnsi="Consolas"/>
          <w:color w:val="2C3E50"/>
          <w:sz w:val="18"/>
          <w:szCs w:val="18"/>
        </w:rPr>
        <w:t xml:space="preserve">      "entityType": "Corporation",</w:t>
      </w:r>
    </w:p>
    <w:p>
      <w:pPr>
        <w:spacing w:after="0"/>
      </w:pPr>
      <w:r>
        <w:rPr>
          <w:rFonts w:ascii="Consolas" w:cs="Consolas" w:eastAsia="Consolas" w:hAnsi="Consolas"/>
          <w:color w:val="2C3E50"/>
          <w:sz w:val="18"/>
          <w:szCs w:val="18"/>
        </w:rPr>
        <w:t xml:space="preserve">      "stateOfDomicile": "IL",</w:t>
      </w:r>
    </w:p>
    <w:p>
      <w:pPr>
        <w:spacing w:after="0"/>
      </w:pPr>
      <w:r>
        <w:rPr>
          <w:rFonts w:ascii="Consolas" w:cs="Consolas" w:eastAsia="Consolas" w:hAnsi="Consolas"/>
          <w:color w:val="2C3E50"/>
          <w:sz w:val="18"/>
          <w:szCs w:val="18"/>
        </w:rPr>
        <w:t xml:space="preserve">      "dnbNumber": "123456789",</w:t>
      </w:r>
    </w:p>
    <w:p>
      <w:pPr>
        <w:spacing w:after="0"/>
      </w:pPr>
      <w:r>
        <w:rPr>
          <w:rFonts w:ascii="Consolas" w:cs="Consolas" w:eastAsia="Consolas" w:hAnsi="Consolas"/>
          <w:color w:val="2C3E50"/>
          <w:sz w:val="18"/>
          <w:szCs w:val="18"/>
        </w:rPr>
        <w:t xml:space="preserve">      "countryCode": "US",</w:t>
      </w:r>
    </w:p>
    <w:p>
      <w:pPr>
        <w:spacing w:after="0"/>
      </w:pPr>
      <w:r>
        <w:rPr>
          <w:rFonts w:ascii="Consolas" w:cs="Consolas" w:eastAsia="Consolas" w:hAnsi="Consolas"/>
          <w:color w:val="2C3E50"/>
          <w:sz w:val="18"/>
          <w:szCs w:val="18"/>
        </w:rPr>
        <w:t xml:space="preserve">      "identifiers": [{ "type": "DUNS", "value": "123456789" }],</w:t>
      </w:r>
    </w:p>
    <w:p>
      <w:pPr>
        <w:spacing w:after="0"/>
      </w:pPr>
      <w:r>
        <w:rPr>
          <w:rFonts w:ascii="Consolas" w:cs="Consolas" w:eastAsia="Consolas" w:hAnsi="Consolas"/>
          <w:color w:val="2C3E50"/>
          <w:sz w:val="18"/>
          <w:szCs w:val="18"/>
        </w:rPr>
        <w:t xml:space="preserve">      "aliases": ["GTC Tradings"],</w:t>
      </w:r>
    </w:p>
    <w:p>
      <w:pPr>
        <w:spacing w:after="0"/>
      </w:pPr>
      <w:r>
        <w:rPr>
          <w:rFonts w:ascii="Consolas" w:cs="Consolas" w:eastAsia="Consolas" w:hAnsi="Consolas"/>
          <w:color w:val="2C3E50"/>
          <w:sz w:val="18"/>
          <w:szCs w:val="18"/>
        </w:rPr>
        <w:t xml:space="preserve">      "addresses": [{</w:t>
      </w:r>
    </w:p>
    <w:p>
      <w:pPr>
        <w:spacing w:after="0"/>
      </w:pPr>
      <w:r>
        <w:rPr>
          <w:rFonts w:ascii="Consolas" w:cs="Consolas" w:eastAsia="Consolas" w:hAnsi="Consolas"/>
          <w:color w:val="2C3E50"/>
          <w:sz w:val="18"/>
          <w:szCs w:val="18"/>
        </w:rPr>
        <w:t xml:space="preserve">        "type": "Primary", "addressLine1": "100 Main Street",</w:t>
      </w:r>
    </w:p>
    <w:p>
      <w:pPr>
        <w:spacing w:after="0"/>
      </w:pPr>
      <w:r>
        <w:rPr>
          <w:rFonts w:ascii="Consolas" w:cs="Consolas" w:eastAsia="Consolas" w:hAnsi="Consolas"/>
          <w:color w:val="2C3E50"/>
          <w:sz w:val="18"/>
          <w:szCs w:val="18"/>
        </w:rPr>
        <w:t xml:space="preserve">        "city": "Chicago", "state": "IL", "zipCode": "60061",</w:t>
      </w:r>
    </w:p>
    <w:p>
      <w:pPr>
        <w:spacing w:after="0"/>
      </w:pPr>
      <w:r>
        <w:rPr>
          <w:rFonts w:ascii="Consolas" w:cs="Consolas" w:eastAsia="Consolas" w:hAnsi="Consolas"/>
          <w:color w:val="2C3E50"/>
          <w:sz w:val="18"/>
          <w:szCs w:val="18"/>
        </w:rPr>
        <w:t xml:space="preserve">        "country": "US", "county": "Cook"</w:t>
      </w:r>
    </w:p>
    <w:p>
      <w:pPr>
        <w:spacing w:after="0"/>
      </w:pPr>
      <w:r>
        <w:rPr>
          <w:rFonts w:ascii="Consolas" w:cs="Consolas" w:eastAsia="Consolas" w:hAnsi="Consolas"/>
          <w:color w:val="2C3E50"/>
          <w:sz w:val="18"/>
          <w:szCs w:val="18"/>
        </w:rPr>
        <w:t xml:space="preserve">      }]</w:t>
      </w:r>
    </w:p>
    <w:p>
      <w:pPr>
        <w:spacing w:after="0"/>
      </w:pPr>
      <w:r>
        <w:rPr>
          <w:rFonts w:ascii="Consolas" w:cs="Consolas" w:eastAsia="Consolas" w:hAnsi="Consolas"/>
          <w:color w:val="2C3E50"/>
          <w:sz w:val="18"/>
          <w:szCs w:val="18"/>
        </w:rPr>
        <w:t xml:space="preserve">    }</w:t>
      </w:r>
    </w:p>
    <w:p>
      <w:pPr>
        <w:spacing w:after="0"/>
      </w:pPr>
      <w:r>
        <w:rPr>
          <w:rFonts w:ascii="Consolas" w:cs="Consolas" w:eastAsia="Consolas" w:hAnsi="Consolas"/>
          <w:color w:val="2C3E50"/>
          <w:sz w:val="18"/>
          <w:szCs w:val="18"/>
        </w:rPr>
        <w:t xml:space="preserve">  ],</w:t>
      </w:r>
    </w:p>
    <w:p>
      <w:pPr>
        <w:spacing w:after="0"/>
      </w:pPr>
      <w:r>
        <w:rPr>
          <w:rFonts w:ascii="Consolas" w:cs="Consolas" w:eastAsia="Consolas" w:hAnsi="Consolas"/>
          <w:color w:val="2C3E50"/>
          <w:sz w:val="18"/>
          <w:szCs w:val="18"/>
        </w:rPr>
        <w:t xml:space="preserve">  "coverageDetails": {</w:t>
      </w:r>
    </w:p>
    <w:p>
      <w:pPr>
        <w:spacing w:after="0"/>
      </w:pPr>
      <w:r>
        <w:rPr>
          <w:rFonts w:ascii="Consolas" w:cs="Consolas" w:eastAsia="Consolas" w:hAnsi="Consolas"/>
          <w:color w:val="2C3E50"/>
          <w:sz w:val="18"/>
          <w:szCs w:val="18"/>
        </w:rPr>
        <w:t xml:space="preserve">    "lineOfBusiness": "Insurance",</w:t>
      </w:r>
    </w:p>
    <w:p>
      <w:pPr>
        <w:spacing w:after="0"/>
      </w:pPr>
      <w:r>
        <w:rPr>
          <w:rFonts w:ascii="Consolas" w:cs="Consolas" w:eastAsia="Consolas" w:hAnsi="Consolas"/>
          <w:color w:val="2C3E50"/>
          <w:sz w:val="18"/>
          <w:szCs w:val="18"/>
        </w:rPr>
        <w:t xml:space="preserve">    "classOfBusiness": ["PVT"],</w:t>
      </w:r>
    </w:p>
    <w:p>
      <w:pPr>
        <w:spacing w:after="0"/>
      </w:pPr>
      <w:r>
        <w:rPr>
          <w:rFonts w:ascii="Consolas" w:cs="Consolas" w:eastAsia="Consolas" w:hAnsi="Consolas"/>
          <w:color w:val="2C3E50"/>
          <w:sz w:val="18"/>
          <w:szCs w:val="18"/>
        </w:rPr>
        <w:t xml:space="preserve">    "insuranceType": "Insurance"</w:t>
      </w:r>
    </w:p>
    <w:p>
      <w:pPr>
        <w:spacing w:after="0"/>
      </w:pPr>
      <w:r>
        <w:rPr>
          <w:rFonts w:ascii="Consolas" w:cs="Consolas" w:eastAsia="Consolas" w:hAnsi="Consolas"/>
          <w:color w:val="2C3E50"/>
          <w:sz w:val="18"/>
          <w:szCs w:val="18"/>
        </w:rPr>
        <w:t xml:space="preserve">  },</w:t>
      </w:r>
    </w:p>
    <w:p>
      <w:pPr>
        <w:spacing w:after="0"/>
      </w:pPr>
      <w:r>
        <w:rPr>
          <w:rFonts w:ascii="Consolas" w:cs="Consolas" w:eastAsia="Consolas" w:hAnsi="Consolas"/>
          <w:color w:val="2C3E50"/>
          <w:sz w:val="18"/>
          <w:szCs w:val="18"/>
        </w:rPr>
        <w:t xml:space="preserve">  "searchCriteria": [</w:t>
      </w:r>
    </w:p>
    <w:p>
      <w:pPr>
        <w:spacing w:after="0"/>
      </w:pPr>
      <w:r>
        <w:rPr>
          <w:rFonts w:ascii="Consolas" w:cs="Consolas" w:eastAsia="Consolas" w:hAnsi="Consolas"/>
          <w:color w:val="2C3E50"/>
          <w:sz w:val="18"/>
          <w:szCs w:val="18"/>
        </w:rPr>
        <w:t xml:space="preserve">    {</w:t>
      </w:r>
    </w:p>
    <w:p>
      <w:pPr>
        <w:spacing w:after="0"/>
      </w:pPr>
      <w:r>
        <w:rPr>
          <w:rFonts w:ascii="Consolas" w:cs="Consolas" w:eastAsia="Consolas" w:hAnsi="Consolas"/>
          <w:color w:val="2C3E50"/>
          <w:sz w:val="18"/>
          <w:szCs w:val="18"/>
        </w:rPr>
        <w:t xml:space="preserve">      "transactionType": "Policy",</w:t>
      </w:r>
    </w:p>
    <w:p>
      <w:pPr>
        <w:spacing w:after="0"/>
      </w:pPr>
      <w:r>
        <w:rPr>
          <w:rFonts w:ascii="Consolas" w:cs="Consolas" w:eastAsia="Consolas" w:hAnsi="Consolas"/>
          <w:color w:val="2C3E50"/>
          <w:sz w:val="18"/>
          <w:szCs w:val="18"/>
        </w:rPr>
        <w:t xml:space="preserve">      "dataSources": ["S2000", "Majesco"],</w:t>
      </w:r>
    </w:p>
    <w:p>
      <w:pPr>
        <w:spacing w:after="0"/>
      </w:pPr>
      <w:r>
        <w:rPr>
          <w:rFonts w:ascii="Consolas" w:cs="Consolas" w:eastAsia="Consolas" w:hAnsi="Consolas"/>
          <w:color w:val="2C3E50"/>
          <w:sz w:val="18"/>
          <w:szCs w:val="18"/>
        </w:rPr>
        <w:t xml:space="preserve">      "confidenceScore": 50,</w:t>
      </w:r>
    </w:p>
    <w:p>
      <w:pPr>
        <w:spacing w:after="0"/>
      </w:pPr>
      <w:r>
        <w:rPr>
          <w:rFonts w:ascii="Consolas" w:cs="Consolas" w:eastAsia="Consolas" w:hAnsi="Consolas"/>
          <w:color w:val="2C3E50"/>
          <w:sz w:val="18"/>
          <w:szCs w:val="18"/>
        </w:rPr>
        <w:t xml:space="preserve">      "searchPeriodMonths": 6,</w:t>
      </w:r>
    </w:p>
    <w:p>
      <w:pPr>
        <w:spacing w:after="0"/>
      </w:pPr>
      <w:r>
        <w:rPr>
          <w:rFonts w:ascii="Consolas" w:cs="Consolas" w:eastAsia="Consolas" w:hAnsi="Consolas"/>
          <w:color w:val="2C3E50"/>
          <w:sz w:val="18"/>
          <w:szCs w:val="18"/>
        </w:rPr>
        <w:t xml:space="preserve">      "numberOfResults": 10,</w:t>
      </w:r>
    </w:p>
    <w:p>
      <w:pPr>
        <w:spacing w:after="0"/>
      </w:pPr>
      <w:r>
        <w:rPr>
          <w:rFonts w:ascii="Consolas" w:cs="Consolas" w:eastAsia="Consolas" w:hAnsi="Consolas"/>
          <w:color w:val="2C3E50"/>
          <w:sz w:val="18"/>
          <w:szCs w:val="18"/>
        </w:rPr>
        <w:t xml:space="preserve">      "statusFilter": ["Bound", "Cancelled"]</w:t>
      </w:r>
    </w:p>
    <w:p>
      <w:pPr>
        <w:spacing w:after="0"/>
      </w:pPr>
      <w:r>
        <w:rPr>
          <w:rFonts w:ascii="Consolas" w:cs="Consolas" w:eastAsia="Consolas" w:hAnsi="Consolas"/>
          <w:color w:val="2C3E50"/>
          <w:sz w:val="18"/>
          <w:szCs w:val="18"/>
        </w:rPr>
        <w:t xml:space="preserve">    },</w:t>
      </w:r>
    </w:p>
    <w:p>
      <w:pPr>
        <w:spacing w:after="0"/>
      </w:pPr>
      <w:r>
        <w:rPr>
          <w:rFonts w:ascii="Consolas" w:cs="Consolas" w:eastAsia="Consolas" w:hAnsi="Consolas"/>
          <w:color w:val="2C3E50"/>
          <w:sz w:val="18"/>
          <w:szCs w:val="18"/>
        </w:rPr>
        <w:t xml:space="preserve">    {</w:t>
      </w:r>
    </w:p>
    <w:p>
      <w:pPr>
        <w:spacing w:after="0"/>
      </w:pPr>
      <w:r>
        <w:rPr>
          <w:rFonts w:ascii="Consolas" w:cs="Consolas" w:eastAsia="Consolas" w:hAnsi="Consolas"/>
          <w:color w:val="2C3E50"/>
          <w:sz w:val="18"/>
          <w:szCs w:val="18"/>
        </w:rPr>
        <w:t xml:space="preserve">      "transactionType": "Quote",</w:t>
      </w:r>
    </w:p>
    <w:p>
      <w:pPr>
        <w:spacing w:after="0"/>
      </w:pPr>
      <w:r>
        <w:rPr>
          <w:rFonts w:ascii="Consolas" w:cs="Consolas" w:eastAsia="Consolas" w:hAnsi="Consolas"/>
          <w:color w:val="2C3E50"/>
          <w:sz w:val="18"/>
          <w:szCs w:val="18"/>
        </w:rPr>
        <w:t xml:space="preserve">      "dataSources": ["Rx0"],</w:t>
      </w:r>
    </w:p>
    <w:p>
      <w:pPr>
        <w:spacing w:after="0"/>
      </w:pPr>
      <w:r>
        <w:rPr>
          <w:rFonts w:ascii="Consolas" w:cs="Consolas" w:eastAsia="Consolas" w:hAnsi="Consolas"/>
          <w:color w:val="2C3E50"/>
          <w:sz w:val="18"/>
          <w:szCs w:val="18"/>
        </w:rPr>
        <w:t xml:space="preserve">      "confidenceScore": 60,</w:t>
      </w:r>
    </w:p>
    <w:p>
      <w:pPr>
        <w:spacing w:after="0"/>
      </w:pPr>
      <w:r>
        <w:rPr>
          <w:rFonts w:ascii="Consolas" w:cs="Consolas" w:eastAsia="Consolas" w:hAnsi="Consolas"/>
          <w:color w:val="2C3E50"/>
          <w:sz w:val="18"/>
          <w:szCs w:val="18"/>
        </w:rPr>
        <w:t xml:space="preserve">      "searchPeriodMonths": 12,</w:t>
      </w:r>
    </w:p>
    <w:p>
      <w:pPr>
        <w:spacing w:after="0"/>
      </w:pPr>
      <w:r>
        <w:rPr>
          <w:rFonts w:ascii="Consolas" w:cs="Consolas" w:eastAsia="Consolas" w:hAnsi="Consolas"/>
          <w:color w:val="2C3E50"/>
          <w:sz w:val="18"/>
          <w:szCs w:val="18"/>
        </w:rPr>
        <w:t xml:space="preserve">      "numberOfResults": 5,</w:t>
      </w:r>
    </w:p>
    <w:p>
      <w:pPr>
        <w:spacing w:after="0"/>
      </w:pPr>
      <w:r>
        <w:rPr>
          <w:rFonts w:ascii="Consolas" w:cs="Consolas" w:eastAsia="Consolas" w:hAnsi="Consolas"/>
          <w:color w:val="2C3E50"/>
          <w:sz w:val="18"/>
          <w:szCs w:val="18"/>
        </w:rPr>
        <w:t xml:space="preserve">      "statusFilter": ["Quoted", "Referred"]</w:t>
      </w:r>
    </w:p>
    <w:p>
      <w:pPr>
        <w:spacing w:after="0"/>
      </w:pPr>
      <w:r>
        <w:rPr>
          <w:rFonts w:ascii="Consolas" w:cs="Consolas" w:eastAsia="Consolas" w:hAnsi="Consolas"/>
          <w:color w:val="2C3E50"/>
          <w:sz w:val="18"/>
          <w:szCs w:val="18"/>
        </w:rPr>
        <w:t xml:space="preserve">    }</w:t>
      </w:r>
    </w:p>
    <w:p>
      <w:pPr>
        <w:spacing w:after="0"/>
      </w:pPr>
      <w:r>
        <w:rPr>
          <w:rFonts w:ascii="Consolas" w:cs="Consolas" w:eastAsia="Consolas" w:hAnsi="Consolas"/>
          <w:color w:val="2C3E50"/>
          <w:sz w:val="18"/>
          <w:szCs w:val="18"/>
        </w:rPr>
        <w:t xml:space="preserve">  ]</w:t>
      </w:r>
    </w:p>
    <w:p>
      <w:pPr>
        <w:spacing w:after="0"/>
      </w:pPr>
      <w:r>
        <w:rPr>
          <w:rFonts w:ascii="Consolas" w:cs="Consolas" w:eastAsia="Consolas" w:hAnsi="Consolas"/>
          <w:color w:val="2C3E50"/>
          <w:sz w:val="18"/>
          <w:szCs w:val="18"/>
        </w:rPr>
        <w:t xml:space="preserve">}</w:t>
      </w:r>
    </w:p>
    <w:p>
      <w:pPr>
        <w:spacing w:after="60"/>
      </w:pPr>
    </w:p>
    <w:p>
      <w:pPr>
        <w:pStyle w:val="Heading2"/>
        <w:spacing w:after="160" w:before="280"/>
      </w:pPr>
      <w:r>
        <w:rPr>
          <w:b/>
          <w:bCs/>
        </w:rPr>
        <w:t xml:space="preserve">6.2 Response</w:t>
      </w:r>
    </w:p>
    <w:p>
      <w:pPr>
        <w:spacing w:after="0"/>
      </w:pPr>
      <w:r>
        <w:rPr>
          <w:rFonts w:ascii="Consolas" w:cs="Consolas" w:eastAsia="Consolas" w:hAnsi="Consolas"/>
          <w:color w:val="2C3E50"/>
          <w:sz w:val="18"/>
          <w:szCs w:val="18"/>
        </w:rPr>
        <w:t xml:space="preserve">{</w:t>
      </w:r>
    </w:p>
    <w:p>
      <w:pPr>
        <w:spacing w:after="0"/>
      </w:pPr>
      <w:r>
        <w:rPr>
          <w:rFonts w:ascii="Consolas" w:cs="Consolas" w:eastAsia="Consolas" w:hAnsi="Consolas"/>
          <w:color w:val="2C3E50"/>
          <w:sz w:val="18"/>
          <w:szCs w:val="18"/>
        </w:rPr>
        <w:t xml:space="preserve">  "correlationId": "RC-20260305-778899",</w:t>
      </w:r>
    </w:p>
    <w:p>
      <w:pPr>
        <w:spacing w:after="0"/>
      </w:pPr>
      <w:r>
        <w:rPr>
          <w:rFonts w:ascii="Consolas" w:cs="Consolas" w:eastAsia="Consolas" w:hAnsi="Consolas"/>
          <w:color w:val="2C3E50"/>
          <w:sz w:val="18"/>
          <w:szCs w:val="18"/>
        </w:rPr>
        <w:t xml:space="preserve">  "responseTimestamp": "2026-03-05T12:10:30Z",</w:t>
      </w:r>
    </w:p>
    <w:p>
      <w:pPr>
        <w:spacing w:after="0"/>
      </w:pPr>
      <w:r>
        <w:rPr>
          <w:rFonts w:ascii="Consolas" w:cs="Consolas" w:eastAsia="Consolas" w:hAnsi="Consolas"/>
          <w:color w:val="2C3E50"/>
          <w:sz w:val="18"/>
          <w:szCs w:val="18"/>
        </w:rPr>
        <w:t xml:space="preserve">  "status": "SUCCESS",</w:t>
      </w:r>
    </w:p>
    <w:p>
      <w:pPr>
        <w:spacing w:after="0"/>
      </w:pPr>
      <w:r>
        <w:rPr>
          <w:rFonts w:ascii="Consolas" w:cs="Consolas" w:eastAsia="Consolas" w:hAnsi="Consolas"/>
          <w:color w:val="2C3E50"/>
          <w:sz w:val="18"/>
          <w:szCs w:val="18"/>
        </w:rPr>
        <w:t xml:space="preserve">  "totalCount": 4,</w:t>
      </w:r>
    </w:p>
    <w:p>
      <w:pPr>
        <w:spacing w:after="0"/>
      </w:pPr>
      <w:r>
        <w:rPr>
          <w:rFonts w:ascii="Consolas" w:cs="Consolas" w:eastAsia="Consolas" w:hAnsi="Consolas"/>
          <w:color w:val="2C3E50"/>
          <w:sz w:val="18"/>
          <w:szCs w:val="18"/>
        </w:rPr>
        <w:t xml:space="preserve">  "risks": [</w:t>
      </w:r>
    </w:p>
    <w:p>
      <w:pPr>
        <w:spacing w:after="0"/>
      </w:pPr>
      <w:r>
        <w:rPr>
          <w:rFonts w:ascii="Consolas" w:cs="Consolas" w:eastAsia="Consolas" w:hAnsi="Consolas"/>
          <w:color w:val="2C3E50"/>
          <w:sz w:val="18"/>
          <w:szCs w:val="18"/>
        </w:rPr>
        <w:t xml:space="preserve">    {</w:t>
      </w:r>
    </w:p>
    <w:p>
      <w:pPr>
        <w:spacing w:after="0"/>
      </w:pPr>
      <w:r>
        <w:rPr>
          <w:rFonts w:ascii="Consolas" w:cs="Consolas" w:eastAsia="Consolas" w:hAnsi="Consolas"/>
          <w:color w:val="2C3E50"/>
          <w:sz w:val="18"/>
          <w:szCs w:val="18"/>
        </w:rPr>
        <w:t xml:space="preserve">      "provider": "GSIDataPlatform",</w:t>
      </w:r>
    </w:p>
    <w:p>
      <w:pPr>
        <w:spacing w:after="0"/>
      </w:pPr>
      <w:r>
        <w:rPr>
          <w:rFonts w:ascii="Consolas" w:cs="Consolas" w:eastAsia="Consolas" w:hAnsi="Consolas"/>
          <w:color w:val="2C3E50"/>
          <w:sz w:val="18"/>
          <w:szCs w:val="18"/>
        </w:rPr>
        <w:t xml:space="preserve">      "dataSource": "S2000",</w:t>
      </w:r>
    </w:p>
    <w:p>
      <w:pPr>
        <w:spacing w:after="0"/>
      </w:pPr>
      <w:r>
        <w:rPr>
          <w:rFonts w:ascii="Consolas" w:cs="Consolas" w:eastAsia="Consolas" w:hAnsi="Consolas"/>
          <w:color w:val="2C3E50"/>
          <w:sz w:val="18"/>
          <w:szCs w:val="18"/>
        </w:rPr>
        <w:t xml:space="preserve">      "transactionType": "Policy",</w:t>
      </w:r>
    </w:p>
    <w:p>
      <w:pPr>
        <w:spacing w:after="0"/>
      </w:pPr>
      <w:r>
        <w:rPr>
          <w:rFonts w:ascii="Consolas" w:cs="Consolas" w:eastAsia="Consolas" w:hAnsi="Consolas"/>
          <w:color w:val="2C3E50"/>
          <w:sz w:val="18"/>
          <w:szCs w:val="18"/>
        </w:rPr>
        <w:t xml:space="preserve">      "entityName": "CocaCola",</w:t>
      </w:r>
    </w:p>
    <w:p>
      <w:pPr>
        <w:spacing w:after="0"/>
      </w:pPr>
      <w:r>
        <w:rPr>
          <w:rFonts w:ascii="Consolas" w:cs="Consolas" w:eastAsia="Consolas" w:hAnsi="Consolas"/>
          <w:color w:val="2C3E50"/>
          <w:sz w:val="18"/>
          <w:szCs w:val="18"/>
        </w:rPr>
        <w:t xml:space="preserve">      "uniqueId": "123456789",</w:t>
      </w:r>
    </w:p>
    <w:p>
      <w:pPr>
        <w:spacing w:after="0"/>
      </w:pPr>
      <w:r>
        <w:rPr>
          <w:rFonts w:ascii="Consolas" w:cs="Consolas" w:eastAsia="Consolas" w:hAnsi="Consolas"/>
          <w:color w:val="2C3E50"/>
          <w:sz w:val="18"/>
          <w:szCs w:val="18"/>
        </w:rPr>
        <w:t xml:space="preserve">      "dbaAka": "GTC Tradings",</w:t>
      </w:r>
    </w:p>
    <w:p>
      <w:pPr>
        <w:spacing w:after="0"/>
      </w:pPr>
      <w:r>
        <w:rPr>
          <w:rFonts w:ascii="Consolas" w:cs="Consolas" w:eastAsia="Consolas" w:hAnsi="Consolas"/>
          <w:color w:val="2C3E50"/>
          <w:sz w:val="18"/>
          <w:szCs w:val="18"/>
        </w:rPr>
        <w:t xml:space="preserve">      "partyRole": "Insured",</w:t>
      </w:r>
    </w:p>
    <w:p>
      <w:pPr>
        <w:spacing w:after="0"/>
      </w:pPr>
      <w:r>
        <w:rPr>
          <w:rFonts w:ascii="Consolas" w:cs="Consolas" w:eastAsia="Consolas" w:hAnsi="Consolas"/>
          <w:color w:val="2C3E50"/>
          <w:sz w:val="18"/>
          <w:szCs w:val="18"/>
        </w:rPr>
        <w:t xml:space="preserve">      "insuranceType": "Insurance",</w:t>
      </w:r>
    </w:p>
    <w:p>
      <w:pPr>
        <w:spacing w:after="0"/>
      </w:pPr>
      <w:r>
        <w:rPr>
          <w:rFonts w:ascii="Consolas" w:cs="Consolas" w:eastAsia="Consolas" w:hAnsi="Consolas"/>
          <w:color w:val="2C3E50"/>
          <w:sz w:val="18"/>
          <w:szCs w:val="18"/>
        </w:rPr>
        <w:t xml:space="preserve">      "lineOfBusiness": "Insurance",</w:t>
      </w:r>
    </w:p>
    <w:p>
      <w:pPr>
        <w:spacing w:after="0"/>
      </w:pPr>
      <w:r>
        <w:rPr>
          <w:rFonts w:ascii="Consolas" w:cs="Consolas" w:eastAsia="Consolas" w:hAnsi="Consolas"/>
          <w:color w:val="2C3E50"/>
          <w:sz w:val="18"/>
          <w:szCs w:val="18"/>
        </w:rPr>
        <w:t xml:space="preserve">      "classOfBusiness": "PVT",</w:t>
      </w:r>
    </w:p>
    <w:p>
      <w:pPr>
        <w:spacing w:after="0"/>
      </w:pPr>
      <w:r>
        <w:rPr>
          <w:rFonts w:ascii="Consolas" w:cs="Consolas" w:eastAsia="Consolas" w:hAnsi="Consolas"/>
          <w:color w:val="2C3E50"/>
          <w:sz w:val="18"/>
          <w:szCs w:val="18"/>
        </w:rPr>
        <w:t xml:space="preserve">      "reference": "MR-TR-00000010-02",</w:t>
      </w:r>
    </w:p>
    <w:p>
      <w:pPr>
        <w:spacing w:after="0"/>
      </w:pPr>
      <w:r>
        <w:rPr>
          <w:rFonts w:ascii="Consolas" w:cs="Consolas" w:eastAsia="Consolas" w:hAnsi="Consolas"/>
          <w:color w:val="2C3E50"/>
          <w:sz w:val="18"/>
          <w:szCs w:val="18"/>
        </w:rPr>
        <w:t xml:space="preserve">      "inceptionDate": "2026-02-27",</w:t>
      </w:r>
    </w:p>
    <w:p>
      <w:pPr>
        <w:spacing w:after="0"/>
      </w:pPr>
      <w:r>
        <w:rPr>
          <w:rFonts w:ascii="Consolas" w:cs="Consolas" w:eastAsia="Consolas" w:hAnsi="Consolas"/>
          <w:color w:val="2C3E50"/>
          <w:sz w:val="18"/>
          <w:szCs w:val="18"/>
        </w:rPr>
        <w:t xml:space="preserve">      "expiryDate": "2027-02-26",</w:t>
      </w:r>
    </w:p>
    <w:p>
      <w:pPr>
        <w:spacing w:after="0"/>
      </w:pPr>
      <w:r>
        <w:rPr>
          <w:rFonts w:ascii="Consolas" w:cs="Consolas" w:eastAsia="Consolas" w:hAnsi="Consolas"/>
          <w:color w:val="2C3E50"/>
          <w:sz w:val="18"/>
          <w:szCs w:val="18"/>
        </w:rPr>
        <w:t xml:space="preserve">      "status": "Bound",</w:t>
      </w:r>
    </w:p>
    <w:p>
      <w:pPr>
        <w:spacing w:after="0"/>
      </w:pPr>
      <w:r>
        <w:rPr>
          <w:rFonts w:ascii="Consolas" w:cs="Consolas" w:eastAsia="Consolas" w:hAnsi="Consolas"/>
          <w:color w:val="2C3E50"/>
          <w:sz w:val="18"/>
          <w:szCs w:val="18"/>
        </w:rPr>
        <w:t xml:space="preserve">      "newOrRenewal": "New",</w:t>
      </w:r>
    </w:p>
    <w:p>
      <w:pPr>
        <w:spacing w:after="0"/>
      </w:pPr>
      <w:r>
        <w:rPr>
          <w:rFonts w:ascii="Consolas" w:cs="Consolas" w:eastAsia="Consolas" w:hAnsi="Consolas"/>
          <w:color w:val="2C3E50"/>
          <w:sz w:val="18"/>
          <w:szCs w:val="18"/>
        </w:rPr>
        <w:t xml:space="preserve">      "renewalDate": null,</w:t>
      </w:r>
    </w:p>
    <w:p>
      <w:pPr>
        <w:spacing w:after="0"/>
      </w:pPr>
      <w:r>
        <w:rPr>
          <w:rFonts w:ascii="Consolas" w:cs="Consolas" w:eastAsia="Consolas" w:hAnsi="Consolas"/>
          <w:color w:val="2C3E50"/>
          <w:sz w:val="18"/>
          <w:szCs w:val="18"/>
        </w:rPr>
        <w:t xml:space="preserve">      "isRenewable": true,</w:t>
      </w:r>
    </w:p>
    <w:p>
      <w:pPr>
        <w:spacing w:after="0"/>
      </w:pPr>
      <w:r>
        <w:rPr>
          <w:rFonts w:ascii="Consolas" w:cs="Consolas" w:eastAsia="Consolas" w:hAnsi="Consolas"/>
          <w:color w:val="2C3E50"/>
          <w:sz w:val="18"/>
          <w:szCs w:val="18"/>
        </w:rPr>
        <w:t xml:space="preserve">      "cancelDeclineReason": null,</w:t>
      </w:r>
    </w:p>
    <w:p>
      <w:pPr>
        <w:spacing w:after="0"/>
      </w:pPr>
      <w:r>
        <w:rPr>
          <w:rFonts w:ascii="Consolas" w:cs="Consolas" w:eastAsia="Consolas" w:hAnsi="Consolas"/>
          <w:color w:val="2C3E50"/>
          <w:sz w:val="18"/>
          <w:szCs w:val="18"/>
        </w:rPr>
        <w:t xml:space="preserve">      "cancelDeclineDate": null,</w:t>
      </w:r>
    </w:p>
    <w:p>
      <w:pPr>
        <w:spacing w:after="0"/>
      </w:pPr>
      <w:r>
        <w:rPr>
          <w:rFonts w:ascii="Consolas" w:cs="Consolas" w:eastAsia="Consolas" w:hAnsi="Consolas"/>
          <w:color w:val="2C3E50"/>
          <w:sz w:val="18"/>
          <w:szCs w:val="18"/>
        </w:rPr>
        <w:t xml:space="preserve">      "insuredAssetType": "Property",</w:t>
      </w:r>
    </w:p>
    <w:p>
      <w:pPr>
        <w:spacing w:after="0"/>
      </w:pPr>
      <w:r>
        <w:rPr>
          <w:rFonts w:ascii="Consolas" w:cs="Consolas" w:eastAsia="Consolas" w:hAnsi="Consolas"/>
          <w:color w:val="2C3E50"/>
          <w:sz w:val="18"/>
          <w:szCs w:val="18"/>
        </w:rPr>
        <w:t xml:space="preserve">      "insuredPropertyType": "Commercial",</w:t>
      </w:r>
    </w:p>
    <w:p>
      <w:pPr>
        <w:spacing w:after="0"/>
      </w:pPr>
      <w:r>
        <w:rPr>
          <w:rFonts w:ascii="Consolas" w:cs="Consolas" w:eastAsia="Consolas" w:hAnsi="Consolas"/>
          <w:color w:val="2C3E50"/>
          <w:sz w:val="18"/>
          <w:szCs w:val="18"/>
        </w:rPr>
        <w:t xml:space="preserve">      "confidenceScore": 80</w:t>
      </w:r>
    </w:p>
    <w:p>
      <w:pPr>
        <w:spacing w:after="0"/>
      </w:pPr>
      <w:r>
        <w:rPr>
          <w:rFonts w:ascii="Consolas" w:cs="Consolas" w:eastAsia="Consolas" w:hAnsi="Consolas"/>
          <w:color w:val="2C3E50"/>
          <w:sz w:val="18"/>
          <w:szCs w:val="18"/>
        </w:rPr>
        <w:t xml:space="preserve">    },</w:t>
      </w:r>
    </w:p>
    <w:p>
      <w:pPr>
        <w:spacing w:after="0"/>
      </w:pPr>
      <w:r>
        <w:rPr>
          <w:rFonts w:ascii="Consolas" w:cs="Consolas" w:eastAsia="Consolas" w:hAnsi="Consolas"/>
          <w:color w:val="2C3E50"/>
          <w:sz w:val="18"/>
          <w:szCs w:val="18"/>
        </w:rPr>
        <w:t xml:space="preserve">    {</w:t>
      </w:r>
    </w:p>
    <w:p>
      <w:pPr>
        <w:spacing w:after="0"/>
      </w:pPr>
      <w:r>
        <w:rPr>
          <w:rFonts w:ascii="Consolas" w:cs="Consolas" w:eastAsia="Consolas" w:hAnsi="Consolas"/>
          <w:color w:val="2C3E50"/>
          <w:sz w:val="18"/>
          <w:szCs w:val="18"/>
        </w:rPr>
        <w:t xml:space="preserve">      "provider": "GSIDataPlatform",</w:t>
      </w:r>
    </w:p>
    <w:p>
      <w:pPr>
        <w:spacing w:after="0"/>
      </w:pPr>
      <w:r>
        <w:rPr>
          <w:rFonts w:ascii="Consolas" w:cs="Consolas" w:eastAsia="Consolas" w:hAnsi="Consolas"/>
          <w:color w:val="2C3E50"/>
          <w:sz w:val="18"/>
          <w:szCs w:val="18"/>
        </w:rPr>
        <w:t xml:space="preserve">      "dataSource": "Majesco",</w:t>
      </w:r>
    </w:p>
    <w:p>
      <w:pPr>
        <w:spacing w:after="0"/>
      </w:pPr>
      <w:r>
        <w:rPr>
          <w:rFonts w:ascii="Consolas" w:cs="Consolas" w:eastAsia="Consolas" w:hAnsi="Consolas"/>
          <w:color w:val="2C3E50"/>
          <w:sz w:val="18"/>
          <w:szCs w:val="18"/>
        </w:rPr>
        <w:t xml:space="preserve">      "transactionType": "Policy",</w:t>
      </w:r>
    </w:p>
    <w:p>
      <w:pPr>
        <w:spacing w:after="0"/>
      </w:pPr>
      <w:r>
        <w:rPr>
          <w:rFonts w:ascii="Consolas" w:cs="Consolas" w:eastAsia="Consolas" w:hAnsi="Consolas"/>
          <w:color w:val="2C3E50"/>
          <w:sz w:val="18"/>
          <w:szCs w:val="18"/>
        </w:rPr>
        <w:t xml:space="preserve">      "entityName": "CocaCola International Ltd",</w:t>
      </w:r>
    </w:p>
    <w:p>
      <w:pPr>
        <w:spacing w:after="0"/>
      </w:pPr>
      <w:r>
        <w:rPr>
          <w:rFonts w:ascii="Consolas" w:cs="Consolas" w:eastAsia="Consolas" w:hAnsi="Consolas"/>
          <w:color w:val="2C3E50"/>
          <w:sz w:val="18"/>
          <w:szCs w:val="18"/>
        </w:rPr>
        <w:t xml:space="preserve">      "uniqueId": "123456789",</w:t>
      </w:r>
    </w:p>
    <w:p>
      <w:pPr>
        <w:spacing w:after="0"/>
      </w:pPr>
      <w:r>
        <w:rPr>
          <w:rFonts w:ascii="Consolas" w:cs="Consolas" w:eastAsia="Consolas" w:hAnsi="Consolas"/>
          <w:color w:val="2C3E50"/>
          <w:sz w:val="18"/>
          <w:szCs w:val="18"/>
        </w:rPr>
        <w:t xml:space="preserve">      "dbaAka": "GTC Tradings",</w:t>
      </w:r>
    </w:p>
    <w:p>
      <w:pPr>
        <w:spacing w:after="0"/>
      </w:pPr>
      <w:r>
        <w:rPr>
          <w:rFonts w:ascii="Consolas" w:cs="Consolas" w:eastAsia="Consolas" w:hAnsi="Consolas"/>
          <w:color w:val="2C3E50"/>
          <w:sz w:val="18"/>
          <w:szCs w:val="18"/>
        </w:rPr>
        <w:t xml:space="preserve">      "partyRole": "Insured",</w:t>
      </w:r>
    </w:p>
    <w:p>
      <w:pPr>
        <w:spacing w:after="0"/>
      </w:pPr>
      <w:r>
        <w:rPr>
          <w:rFonts w:ascii="Consolas" w:cs="Consolas" w:eastAsia="Consolas" w:hAnsi="Consolas"/>
          <w:color w:val="2C3E50"/>
          <w:sz w:val="18"/>
          <w:szCs w:val="18"/>
        </w:rPr>
        <w:t xml:space="preserve">      "insuranceType": "Insurance",</w:t>
      </w:r>
    </w:p>
    <w:p>
      <w:pPr>
        <w:spacing w:after="0"/>
      </w:pPr>
      <w:r>
        <w:rPr>
          <w:rFonts w:ascii="Consolas" w:cs="Consolas" w:eastAsia="Consolas" w:hAnsi="Consolas"/>
          <w:color w:val="2C3E50"/>
          <w:sz w:val="18"/>
          <w:szCs w:val="18"/>
        </w:rPr>
        <w:t xml:space="preserve">      "lineOfBusiness": "Insurance",</w:t>
      </w:r>
    </w:p>
    <w:p>
      <w:pPr>
        <w:spacing w:after="0"/>
      </w:pPr>
      <w:r>
        <w:rPr>
          <w:rFonts w:ascii="Consolas" w:cs="Consolas" w:eastAsia="Consolas" w:hAnsi="Consolas"/>
          <w:color w:val="2C3E50"/>
          <w:sz w:val="18"/>
          <w:szCs w:val="18"/>
        </w:rPr>
        <w:t xml:space="preserve">      "classOfBusiness": "PVT",</w:t>
      </w:r>
    </w:p>
    <w:p>
      <w:pPr>
        <w:spacing w:after="0"/>
      </w:pPr>
      <w:r>
        <w:rPr>
          <w:rFonts w:ascii="Consolas" w:cs="Consolas" w:eastAsia="Consolas" w:hAnsi="Consolas"/>
          <w:color w:val="2C3E50"/>
          <w:sz w:val="18"/>
          <w:szCs w:val="18"/>
        </w:rPr>
        <w:t xml:space="preserve">      "reference": "MAJ-POL-00234",</w:t>
      </w:r>
    </w:p>
    <w:p>
      <w:pPr>
        <w:spacing w:after="0"/>
      </w:pPr>
      <w:r>
        <w:rPr>
          <w:rFonts w:ascii="Consolas" w:cs="Consolas" w:eastAsia="Consolas" w:hAnsi="Consolas"/>
          <w:color w:val="2C3E50"/>
          <w:sz w:val="18"/>
          <w:szCs w:val="18"/>
        </w:rPr>
        <w:t xml:space="preserve">      "inceptionDate": "2025-11-01",</w:t>
      </w:r>
    </w:p>
    <w:p>
      <w:pPr>
        <w:spacing w:after="0"/>
      </w:pPr>
      <w:r>
        <w:rPr>
          <w:rFonts w:ascii="Consolas" w:cs="Consolas" w:eastAsia="Consolas" w:hAnsi="Consolas"/>
          <w:color w:val="2C3E50"/>
          <w:sz w:val="18"/>
          <w:szCs w:val="18"/>
        </w:rPr>
        <w:t xml:space="preserve">      "expiryDate": "2026-10-31",</w:t>
      </w:r>
    </w:p>
    <w:p>
      <w:pPr>
        <w:spacing w:after="0"/>
      </w:pPr>
      <w:r>
        <w:rPr>
          <w:rFonts w:ascii="Consolas" w:cs="Consolas" w:eastAsia="Consolas" w:hAnsi="Consolas"/>
          <w:color w:val="2C3E50"/>
          <w:sz w:val="18"/>
          <w:szCs w:val="18"/>
        </w:rPr>
        <w:t xml:space="preserve">      "status": "Bound",</w:t>
      </w:r>
    </w:p>
    <w:p>
      <w:pPr>
        <w:spacing w:after="0"/>
      </w:pPr>
      <w:r>
        <w:rPr>
          <w:rFonts w:ascii="Consolas" w:cs="Consolas" w:eastAsia="Consolas" w:hAnsi="Consolas"/>
          <w:color w:val="2C3E50"/>
          <w:sz w:val="18"/>
          <w:szCs w:val="18"/>
        </w:rPr>
        <w:t xml:space="preserve">      "newOrRenewal": "Renewal",</w:t>
      </w:r>
    </w:p>
    <w:p>
      <w:pPr>
        <w:spacing w:after="0"/>
      </w:pPr>
      <w:r>
        <w:rPr>
          <w:rFonts w:ascii="Consolas" w:cs="Consolas" w:eastAsia="Consolas" w:hAnsi="Consolas"/>
          <w:color w:val="2C3E50"/>
          <w:sz w:val="18"/>
          <w:szCs w:val="18"/>
        </w:rPr>
        <w:t xml:space="preserve">      "renewalDate": "2026-10-31",</w:t>
      </w:r>
    </w:p>
    <w:p>
      <w:pPr>
        <w:spacing w:after="0"/>
      </w:pPr>
      <w:r>
        <w:rPr>
          <w:rFonts w:ascii="Consolas" w:cs="Consolas" w:eastAsia="Consolas" w:hAnsi="Consolas"/>
          <w:color w:val="2C3E50"/>
          <w:sz w:val="18"/>
          <w:szCs w:val="18"/>
        </w:rPr>
        <w:t xml:space="preserve">      "isRenewable": true,</w:t>
      </w:r>
    </w:p>
    <w:p>
      <w:pPr>
        <w:spacing w:after="0"/>
      </w:pPr>
      <w:r>
        <w:rPr>
          <w:rFonts w:ascii="Consolas" w:cs="Consolas" w:eastAsia="Consolas" w:hAnsi="Consolas"/>
          <w:color w:val="2C3E50"/>
          <w:sz w:val="18"/>
          <w:szCs w:val="18"/>
        </w:rPr>
        <w:t xml:space="preserve">      "cancelDeclineReason": null,</w:t>
      </w:r>
    </w:p>
    <w:p>
      <w:pPr>
        <w:spacing w:after="0"/>
      </w:pPr>
      <w:r>
        <w:rPr>
          <w:rFonts w:ascii="Consolas" w:cs="Consolas" w:eastAsia="Consolas" w:hAnsi="Consolas"/>
          <w:color w:val="2C3E50"/>
          <w:sz w:val="18"/>
          <w:szCs w:val="18"/>
        </w:rPr>
        <w:t xml:space="preserve">      "cancelDeclineDate": null,</w:t>
      </w:r>
    </w:p>
    <w:p>
      <w:pPr>
        <w:spacing w:after="0"/>
      </w:pPr>
      <w:r>
        <w:rPr>
          <w:rFonts w:ascii="Consolas" w:cs="Consolas" w:eastAsia="Consolas" w:hAnsi="Consolas"/>
          <w:color w:val="2C3E50"/>
          <w:sz w:val="18"/>
          <w:szCs w:val="18"/>
        </w:rPr>
        <w:t xml:space="preserve">      "insuredAssetType": "Liability",</w:t>
      </w:r>
    </w:p>
    <w:p>
      <w:pPr>
        <w:spacing w:after="0"/>
      </w:pPr>
      <w:r>
        <w:rPr>
          <w:rFonts w:ascii="Consolas" w:cs="Consolas" w:eastAsia="Consolas" w:hAnsi="Consolas"/>
          <w:color w:val="2C3E50"/>
          <w:sz w:val="18"/>
          <w:szCs w:val="18"/>
        </w:rPr>
        <w:t xml:space="preserve">      "insuredPropertyType": null,</w:t>
      </w:r>
    </w:p>
    <w:p>
      <w:pPr>
        <w:spacing w:after="0"/>
      </w:pPr>
      <w:r>
        <w:rPr>
          <w:rFonts w:ascii="Consolas" w:cs="Consolas" w:eastAsia="Consolas" w:hAnsi="Consolas"/>
          <w:color w:val="2C3E50"/>
          <w:sz w:val="18"/>
          <w:szCs w:val="18"/>
        </w:rPr>
        <w:t xml:space="preserve">      "confidenceScore": 72</w:t>
      </w:r>
    </w:p>
    <w:p>
      <w:pPr>
        <w:spacing w:after="0"/>
      </w:pPr>
      <w:r>
        <w:rPr>
          <w:rFonts w:ascii="Consolas" w:cs="Consolas" w:eastAsia="Consolas" w:hAnsi="Consolas"/>
          <w:color w:val="2C3E50"/>
          <w:sz w:val="18"/>
          <w:szCs w:val="18"/>
        </w:rPr>
        <w:t xml:space="preserve">    }</w:t>
      </w:r>
    </w:p>
    <w:p>
      <w:pPr>
        <w:spacing w:after="0"/>
      </w:pPr>
      <w:r>
        <w:rPr>
          <w:rFonts w:ascii="Consolas" w:cs="Consolas" w:eastAsia="Consolas" w:hAnsi="Consolas"/>
          <w:color w:val="2C3E50"/>
          <w:sz w:val="18"/>
          <w:szCs w:val="18"/>
        </w:rPr>
        <w:t xml:space="preserve">  ]</w:t>
      </w:r>
    </w:p>
    <w:p>
      <w:pPr>
        <w:spacing w:after="0"/>
      </w:pPr>
      <w:r>
        <w:rPr>
          <w:rFonts w:ascii="Consolas" w:cs="Consolas" w:eastAsia="Consolas" w:hAnsi="Consolas"/>
          <w:color w:val="2C3E50"/>
          <w:sz w:val="18"/>
          <w:szCs w:val="18"/>
        </w:rPr>
        <w:t xml:space="preserve">}</w:t>
      </w:r>
    </w:p>
    <w:p>
      <w:r>
        <w:br w:type="page"/>
      </w:r>
    </w:p>
    <w:p>
      <w:pPr>
        <w:pStyle w:val="Heading1"/>
        <w:spacing w:after="200" w:before="360"/>
      </w:pPr>
      <w:r>
        <w:rPr>
          <w:b/>
          <w:bCs/>
        </w:rPr>
        <w:t xml:space="preserve">7. Provider Example 1: GSIDataPlatform (Internal — Databricks)</w:t>
      </w:r>
    </w:p>
    <w:p>
      <w:pPr>
        <w:spacing w:after="120"/>
      </w:pPr>
      <w:r>
        <w:rPr>
          <w:rFonts w:ascii="Arial" w:cs="Arial" w:eastAsia="Arial" w:hAnsi="Arial"/>
          <w:sz w:val="22"/>
          <w:szCs w:val="22"/>
        </w:rPr>
        <w:t xml:space="preserve">GSIDataPlatform is an internal provider. iHub calls the Databricks SQL Statement Execution API, which queries across underlying data sources (S2000, Majesco, Rx0). The data sources are abstracted from the caller — the caller only specifies X-Risk-Data-Provider: GSIDataPlatform.</w:t>
      </w:r>
    </w:p>
    <w:p>
      <w:pPr>
        <w:spacing w:after="60"/>
      </w:pPr>
    </w:p>
    <w:p>
      <w:pPr>
        <w:pStyle w:val="Heading2"/>
        <w:spacing w:after="160" w:before="280"/>
      </w:pPr>
      <w:r>
        <w:rPr>
          <w:b/>
          <w:bCs/>
        </w:rPr>
        <w:t xml:space="preserve">7.1 How It Works</w:t>
      </w:r>
    </w:p>
    <w:p>
      <w:pPr>
        <w:pStyle w:val="ListParagraph"/>
        <w:numPr>
          <w:ilvl w:val="0"/>
          <w:numId w:val="3"/>
        </w:numPr>
        <w:spacing w:after="80"/>
      </w:pPr>
      <w:r>
        <w:rPr>
          <w:rFonts w:ascii="Arial" w:cs="Arial" w:eastAsia="Arial" w:hAnsi="Arial"/>
          <w:b/>
          <w:bCs/>
          <w:sz w:val="22"/>
          <w:szCs w:val="22"/>
        </w:rPr>
        <w:t xml:space="preserve">Caller </w:t>
      </w:r>
      <w:r>
        <w:rPr>
          <w:rFonts w:ascii="Arial" w:cs="Arial" w:eastAsia="Arial" w:hAnsi="Arial"/>
          <w:sz w:val="22"/>
          <w:szCs w:val="22"/>
        </w:rPr>
        <w:t xml:space="preserve">sends POST /risks with X-Risk-Data-Provider: GSIDataPlatform.</w:t>
      </w:r>
    </w:p>
    <w:p>
      <w:pPr>
        <w:pStyle w:val="ListParagraph"/>
        <w:numPr>
          <w:ilvl w:val="0"/>
          <w:numId w:val="3"/>
        </w:numPr>
        <w:spacing w:after="80"/>
      </w:pPr>
      <w:r>
        <w:rPr>
          <w:rFonts w:ascii="Arial" w:cs="Arial" w:eastAsia="Arial" w:hAnsi="Arial"/>
          <w:b/>
          <w:bCs/>
          <w:sz w:val="22"/>
          <w:szCs w:val="22"/>
        </w:rPr>
        <w:t xml:space="preserve">APIM </w:t>
      </w:r>
      <w:r>
        <w:rPr>
          <w:rFonts w:ascii="Arial" w:cs="Arial" w:eastAsia="Arial" w:hAnsi="Arial"/>
          <w:sz w:val="22"/>
          <w:szCs w:val="22"/>
        </w:rPr>
        <w:t xml:space="preserve">validates JWT + subscription key, routes to iHub.</w:t>
      </w:r>
    </w:p>
    <w:p>
      <w:pPr>
        <w:pStyle w:val="ListParagraph"/>
        <w:numPr>
          <w:ilvl w:val="0"/>
          <w:numId w:val="3"/>
        </w:numPr>
        <w:spacing w:after="80"/>
      </w:pPr>
      <w:r>
        <w:rPr>
          <w:rFonts w:ascii="Arial" w:cs="Arial" w:eastAsia="Arial" w:hAnsi="Arial"/>
          <w:b/>
          <w:bCs/>
          <w:sz w:val="22"/>
          <w:szCs w:val="22"/>
        </w:rPr>
        <w:t xml:space="preserve">iHub Orchestrator </w:t>
      </w:r>
      <w:r>
        <w:rPr>
          <w:rFonts w:ascii="Arial" w:cs="Arial" w:eastAsia="Arial" w:hAnsi="Arial"/>
          <w:sz w:val="22"/>
          <w:szCs w:val="22"/>
        </w:rPr>
        <w:t xml:space="preserve">reads X-Risk-Data-Provider, looks up GSIDataPlatform in provider registry config.</w:t>
      </w:r>
    </w:p>
    <w:p>
      <w:pPr>
        <w:pStyle w:val="ListParagraph"/>
        <w:numPr>
          <w:ilvl w:val="0"/>
          <w:numId w:val="3"/>
        </w:numPr>
        <w:spacing w:after="80"/>
      </w:pPr>
      <w:r>
        <w:rPr>
          <w:rFonts w:ascii="Arial" w:cs="Arial" w:eastAsia="Arial" w:hAnsi="Arial"/>
          <w:b/>
          <w:bCs/>
          <w:sz w:val="22"/>
          <w:szCs w:val="22"/>
        </w:rPr>
        <w:t xml:space="preserve">Databricks Activity </w:t>
      </w:r>
      <w:r>
        <w:rPr>
          <w:rFonts w:ascii="Arial" w:cs="Arial" w:eastAsia="Arial" w:hAnsi="Arial"/>
          <w:sz w:val="22"/>
          <w:szCs w:val="22"/>
        </w:rPr>
        <w:t xml:space="preserve">authenticates via Managed Identity, calls POST /api/2.0/sql/statements with wait_timeout=0s (async).</w:t>
      </w:r>
    </w:p>
    <w:p>
      <w:pPr>
        <w:pStyle w:val="ListParagraph"/>
        <w:numPr>
          <w:ilvl w:val="0"/>
          <w:numId w:val="3"/>
        </w:numPr>
        <w:spacing w:after="80"/>
      </w:pPr>
      <w:r>
        <w:rPr>
          <w:rFonts w:ascii="Arial" w:cs="Arial" w:eastAsia="Arial" w:hAnsi="Arial"/>
          <w:b/>
          <w:bCs/>
          <w:sz w:val="22"/>
          <w:szCs w:val="22"/>
        </w:rPr>
        <w:t xml:space="preserve">Databricks </w:t>
      </w:r>
      <w:r>
        <w:rPr>
          <w:rFonts w:ascii="Arial" w:cs="Arial" w:eastAsia="Arial" w:hAnsi="Arial"/>
          <w:sz w:val="22"/>
          <w:szCs w:val="22"/>
        </w:rPr>
        <w:t xml:space="preserve">returns statement_id immediately.</w:t>
      </w:r>
    </w:p>
    <w:p>
      <w:pPr>
        <w:pStyle w:val="ListParagraph"/>
        <w:numPr>
          <w:ilvl w:val="0"/>
          <w:numId w:val="3"/>
        </w:numPr>
        <w:spacing w:after="80"/>
      </w:pPr>
      <w:r>
        <w:rPr>
          <w:rFonts w:ascii="Arial" w:cs="Arial" w:eastAsia="Arial" w:hAnsi="Arial"/>
          <w:b/>
          <w:bCs/>
          <w:sz w:val="22"/>
          <w:szCs w:val="22"/>
        </w:rPr>
        <w:t xml:space="preserve">Orchestrator </w:t>
      </w:r>
      <w:r>
        <w:rPr>
          <w:rFonts w:ascii="Arial" w:cs="Arial" w:eastAsia="Arial" w:hAnsi="Arial"/>
          <w:sz w:val="22"/>
          <w:szCs w:val="22"/>
        </w:rPr>
        <w:t xml:space="preserve">uses Monitor Pattern with CreateTimer-based polling: waits 15s, then polls every 5s until SUCCEEDED.</w:t>
      </w:r>
    </w:p>
    <w:p>
      <w:pPr>
        <w:pStyle w:val="ListParagraph"/>
        <w:numPr>
          <w:ilvl w:val="0"/>
          <w:numId w:val="3"/>
        </w:numPr>
        <w:spacing w:after="80"/>
      </w:pPr>
      <w:r>
        <w:rPr>
          <w:rFonts w:ascii="Arial" w:cs="Arial" w:eastAsia="Arial" w:hAnsi="Arial"/>
          <w:b/>
          <w:bCs/>
          <w:sz w:val="22"/>
          <w:szCs w:val="22"/>
        </w:rPr>
        <w:t xml:space="preserve">Databricks </w:t>
      </w:r>
      <w:r>
        <w:rPr>
          <w:rFonts w:ascii="Arial" w:cs="Arial" w:eastAsia="Arial" w:hAnsi="Arial"/>
          <w:sz w:val="22"/>
          <w:szCs w:val="22"/>
        </w:rPr>
        <w:t xml:space="preserve">returns flat risk records. Activity maps to common response model.</w:t>
      </w:r>
    </w:p>
    <w:p>
      <w:pPr>
        <w:pStyle w:val="ListParagraph"/>
        <w:numPr>
          <w:ilvl w:val="0"/>
          <w:numId w:val="3"/>
        </w:numPr>
        <w:spacing w:after="80"/>
      </w:pPr>
      <w:r>
        <w:rPr>
          <w:rFonts w:ascii="Arial" w:cs="Arial" w:eastAsia="Arial" w:hAnsi="Arial"/>
          <w:b/>
          <w:bCs/>
          <w:sz w:val="22"/>
          <w:szCs w:val="22"/>
        </w:rPr>
        <w:t xml:space="preserve">Orchestrator </w:t>
      </w:r>
      <w:r>
        <w:rPr>
          <w:rFonts w:ascii="Arial" w:cs="Arial" w:eastAsia="Arial" w:hAnsi="Arial"/>
          <w:sz w:val="22"/>
          <w:szCs w:val="22"/>
        </w:rPr>
        <w:t xml:space="preserve">returns response. Caller polls status URL and receives 200 with risk records.</w:t>
      </w:r>
    </w:p>
    <w:p>
      <w:pPr>
        <w:spacing w:after="60"/>
      </w:pPr>
    </w:p>
    <w:p>
      <w:pPr>
        <w:pStyle w:val="Heading2"/>
        <w:spacing w:after="160" w:before="280"/>
      </w:pPr>
      <w:r>
        <w:rPr>
          <w:b/>
          <w:bCs/>
        </w:rPr>
        <w:t xml:space="preserve">7.2 Configuration (Azure App Configuration)</w:t>
      </w:r>
    </w:p>
    <w:p>
      <w:pPr>
        <w:spacing w:after="0"/>
      </w:pPr>
      <w:r>
        <w:rPr>
          <w:rFonts w:ascii="Consolas" w:cs="Consolas" w:eastAsia="Consolas" w:hAnsi="Consolas"/>
          <w:color w:val="2C3E50"/>
          <w:sz w:val="18"/>
          <w:szCs w:val="18"/>
        </w:rPr>
        <w:t xml:space="preserve">{</w:t>
      </w:r>
    </w:p>
    <w:p>
      <w:pPr>
        <w:spacing w:after="0"/>
      </w:pPr>
      <w:r>
        <w:rPr>
          <w:rFonts w:ascii="Consolas" w:cs="Consolas" w:eastAsia="Consolas" w:hAnsi="Consolas"/>
          <w:color w:val="2C3E50"/>
          <w:sz w:val="18"/>
          <w:szCs w:val="18"/>
        </w:rPr>
        <w:t xml:space="preserve">  "GSIDataPlatform": {</w:t>
      </w:r>
    </w:p>
    <w:p>
      <w:pPr>
        <w:spacing w:after="0"/>
      </w:pPr>
      <w:r>
        <w:rPr>
          <w:rFonts w:ascii="Consolas" w:cs="Consolas" w:eastAsia="Consolas" w:hAnsi="Consolas"/>
          <w:color w:val="2C3E50"/>
          <w:sz w:val="18"/>
          <w:szCs w:val="18"/>
        </w:rPr>
        <w:t xml:space="preserve">    "type": "Internal",</w:t>
      </w:r>
    </w:p>
    <w:p>
      <w:pPr>
        <w:spacing w:after="0"/>
      </w:pPr>
      <w:r>
        <w:rPr>
          <w:rFonts w:ascii="Consolas" w:cs="Consolas" w:eastAsia="Consolas" w:hAnsi="Consolas"/>
          <w:color w:val="2C3E50"/>
          <w:sz w:val="18"/>
          <w:szCs w:val="18"/>
        </w:rPr>
        <w:t xml:space="preserve">    "endpoint": {</w:t>
      </w:r>
    </w:p>
    <w:p>
      <w:pPr>
        <w:spacing w:after="0"/>
      </w:pPr>
      <w:r>
        <w:rPr>
          <w:rFonts w:ascii="Consolas" w:cs="Consolas" w:eastAsia="Consolas" w:hAnsi="Consolas"/>
          <w:color w:val="2C3E50"/>
          <w:sz w:val="18"/>
          <w:szCs w:val="18"/>
        </w:rPr>
        <w:t xml:space="preserve">      "baseUrl": "https://databricks.mrsgm.internal/api/v1",</w:t>
      </w:r>
    </w:p>
    <w:p>
      <w:pPr>
        <w:spacing w:after="0"/>
      </w:pPr>
      <w:r>
        <w:rPr>
          <w:rFonts w:ascii="Consolas" w:cs="Consolas" w:eastAsia="Consolas" w:hAnsi="Consolas"/>
          <w:color w:val="2C3E50"/>
          <w:sz w:val="18"/>
          <w:szCs w:val="18"/>
        </w:rPr>
        <w:t xml:space="preserve">      "path": "/risks/search",</w:t>
      </w:r>
    </w:p>
    <w:p>
      <w:pPr>
        <w:spacing w:after="0"/>
      </w:pPr>
      <w:r>
        <w:rPr>
          <w:rFonts w:ascii="Consolas" w:cs="Consolas" w:eastAsia="Consolas" w:hAnsi="Consolas"/>
          <w:color w:val="2C3E50"/>
          <w:sz w:val="18"/>
          <w:szCs w:val="18"/>
        </w:rPr>
        <w:t xml:space="preserve">      "authType": "ManagedIdentity"</w:t>
      </w:r>
    </w:p>
    <w:p>
      <w:pPr>
        <w:spacing w:after="0"/>
      </w:pPr>
      <w:r>
        <w:rPr>
          <w:rFonts w:ascii="Consolas" w:cs="Consolas" w:eastAsia="Consolas" w:hAnsi="Consolas"/>
          <w:color w:val="2C3E50"/>
          <w:sz w:val="18"/>
          <w:szCs w:val="18"/>
        </w:rPr>
        <w:t xml:space="preserve">    },</w:t>
      </w:r>
    </w:p>
    <w:p>
      <w:pPr>
        <w:spacing w:after="0"/>
      </w:pPr>
      <w:r>
        <w:rPr>
          <w:rFonts w:ascii="Consolas" w:cs="Consolas" w:eastAsia="Consolas" w:hAnsi="Consolas"/>
          <w:color w:val="2C3E50"/>
          <w:sz w:val="18"/>
          <w:szCs w:val="18"/>
        </w:rPr>
        <w:t xml:space="preserve">    "resilience": {</w:t>
      </w:r>
    </w:p>
    <w:p>
      <w:pPr>
        <w:spacing w:after="0"/>
      </w:pPr>
      <w:r>
        <w:rPr>
          <w:rFonts w:ascii="Consolas" w:cs="Consolas" w:eastAsia="Consolas" w:hAnsi="Consolas"/>
          <w:color w:val="2C3E50"/>
          <w:sz w:val="18"/>
          <w:szCs w:val="18"/>
        </w:rPr>
        <w:t xml:space="preserve">      "timeoutSeconds": 300,</w:t>
      </w:r>
    </w:p>
    <w:p>
      <w:pPr>
        <w:spacing w:after="0"/>
      </w:pPr>
      <w:r>
        <w:rPr>
          <w:rFonts w:ascii="Consolas" w:cs="Consolas" w:eastAsia="Consolas" w:hAnsi="Consolas"/>
          <w:color w:val="2C3E50"/>
          <w:sz w:val="18"/>
          <w:szCs w:val="18"/>
        </w:rPr>
        <w:t xml:space="preserve">      "retryCount": 3,</w:t>
      </w:r>
    </w:p>
    <w:p>
      <w:pPr>
        <w:spacing w:after="0"/>
      </w:pPr>
      <w:r>
        <w:rPr>
          <w:rFonts w:ascii="Consolas" w:cs="Consolas" w:eastAsia="Consolas" w:hAnsi="Consolas"/>
          <w:color w:val="2C3E50"/>
          <w:sz w:val="18"/>
          <w:szCs w:val="18"/>
        </w:rPr>
        <w:t xml:space="preserve">      "retryDelayMs": 500</w:t>
      </w:r>
    </w:p>
    <w:p>
      <w:pPr>
        <w:spacing w:after="0"/>
      </w:pPr>
      <w:r>
        <w:rPr>
          <w:rFonts w:ascii="Consolas" w:cs="Consolas" w:eastAsia="Consolas" w:hAnsi="Consolas"/>
          <w:color w:val="2C3E50"/>
          <w:sz w:val="18"/>
          <w:szCs w:val="18"/>
        </w:rPr>
        <w:t xml:space="preserve">    },</w:t>
      </w:r>
    </w:p>
    <w:p>
      <w:pPr>
        <w:spacing w:after="0"/>
      </w:pPr>
      <w:r>
        <w:rPr>
          <w:rFonts w:ascii="Consolas" w:cs="Consolas" w:eastAsia="Consolas" w:hAnsi="Consolas"/>
          <w:color w:val="2C3E50"/>
          <w:sz w:val="18"/>
          <w:szCs w:val="18"/>
        </w:rPr>
        <w:t xml:space="preserve">    "polling": {</w:t>
      </w:r>
    </w:p>
    <w:p>
      <w:pPr>
        <w:spacing w:after="0"/>
      </w:pPr>
      <w:r>
        <w:rPr>
          <w:rFonts w:ascii="Consolas" w:cs="Consolas" w:eastAsia="Consolas" w:hAnsi="Consolas"/>
          <w:color w:val="2C3E50"/>
          <w:sz w:val="18"/>
          <w:szCs w:val="18"/>
        </w:rPr>
        <w:t xml:space="preserve">      "initialWaitSeconds": 15,</w:t>
      </w:r>
    </w:p>
    <w:p>
      <w:pPr>
        <w:spacing w:after="0"/>
      </w:pPr>
      <w:r>
        <w:rPr>
          <w:rFonts w:ascii="Consolas" w:cs="Consolas" w:eastAsia="Consolas" w:hAnsi="Consolas"/>
          <w:color w:val="2C3E50"/>
          <w:sz w:val="18"/>
          <w:szCs w:val="18"/>
        </w:rPr>
        <w:t xml:space="preserve">      "pollIntervalSeconds": 5,</w:t>
      </w:r>
    </w:p>
    <w:p>
      <w:pPr>
        <w:spacing w:after="0"/>
      </w:pPr>
      <w:r>
        <w:rPr>
          <w:rFonts w:ascii="Consolas" w:cs="Consolas" w:eastAsia="Consolas" w:hAnsi="Consolas"/>
          <w:color w:val="2C3E50"/>
          <w:sz w:val="18"/>
          <w:szCs w:val="18"/>
        </w:rPr>
        <w:t xml:space="preserve">      "maxPollDurationMinutes": 5</w:t>
      </w:r>
    </w:p>
    <w:p>
      <w:pPr>
        <w:spacing w:after="0"/>
      </w:pPr>
      <w:r>
        <w:rPr>
          <w:rFonts w:ascii="Consolas" w:cs="Consolas" w:eastAsia="Consolas" w:hAnsi="Consolas"/>
          <w:color w:val="2C3E50"/>
          <w:sz w:val="18"/>
          <w:szCs w:val="18"/>
        </w:rPr>
        <w:t xml:space="preserve">    }</w:t>
      </w:r>
    </w:p>
    <w:p>
      <w:pPr>
        <w:spacing w:after="0"/>
      </w:pPr>
      <w:r>
        <w:rPr>
          <w:rFonts w:ascii="Consolas" w:cs="Consolas" w:eastAsia="Consolas" w:hAnsi="Consolas"/>
          <w:color w:val="2C3E50"/>
          <w:sz w:val="18"/>
          <w:szCs w:val="18"/>
        </w:rPr>
        <w:t xml:space="preserve">  }</w:t>
      </w:r>
    </w:p>
    <w:p>
      <w:pPr>
        <w:spacing w:after="0"/>
      </w:pPr>
      <w:r>
        <w:rPr>
          <w:rFonts w:ascii="Consolas" w:cs="Consolas" w:eastAsia="Consolas" w:hAnsi="Consolas"/>
          <w:color w:val="2C3E50"/>
          <w:sz w:val="18"/>
          <w:szCs w:val="18"/>
        </w:rPr>
        <w:t xml:space="preserve">}</w:t>
      </w:r>
    </w:p>
    <w:p>
      <w:pPr>
        <w:spacing w:after="60"/>
      </w:pPr>
    </w:p>
    <w:p>
      <w:pPr>
        <w:spacing w:after="120"/>
      </w:pPr>
      <w:r>
        <w:rPr>
          <w:rFonts w:ascii="Arial" w:cs="Arial" w:eastAsia="Arial" w:hAnsi="Arial"/>
          <w:sz w:val="22"/>
          <w:szCs w:val="22"/>
        </w:rPr>
        <w:t xml:space="preserve">Secrets (Azure Key Vault): None required — uses Managed Identity for authentication.</w:t>
      </w:r>
    </w:p>
    <w:p>
      <w:pPr>
        <w:spacing w:after="60"/>
      </w:pPr>
    </w:p>
    <w:p>
      <w:pPr>
        <w:pStyle w:val="Heading2"/>
        <w:spacing w:after="160" w:before="280"/>
      </w:pPr>
      <w:r>
        <w:rPr>
          <w:b/>
          <w:bCs/>
        </w:rPr>
        <w:t xml:space="preserve">7.3 Flow Diagram</w:t>
      </w:r>
    </w:p>
    <w:p>
      <w:pPr>
        <w:spacing w:after="0"/>
      </w:pPr>
      <w:r>
        <w:rPr>
          <w:rFonts w:ascii="Consolas" w:cs="Consolas" w:eastAsia="Consolas" w:hAnsi="Consolas"/>
          <w:color w:val="2C3E50"/>
          <w:sz w:val="18"/>
          <w:szCs w:val="18"/>
        </w:rPr>
        <w:t xml:space="preserve">Caller → POST /risks (X-Risk-Data-Provider: GSIDataPlatform)</w:t>
      </w:r>
    </w:p>
    <w:p>
      <w:pPr>
        <w:spacing w:after="0"/>
      </w:pPr>
      <w:r>
        <w:rPr>
          <w:rFonts w:ascii="Consolas" w:cs="Consolas" w:eastAsia="Consolas" w:hAnsi="Consolas"/>
          <w:color w:val="2C3E50"/>
          <w:sz w:val="18"/>
          <w:szCs w:val="18"/>
        </w:rPr>
        <w:t xml:space="preserve">  │</w:t>
      </w:r>
    </w:p>
    <w:p>
      <w:pPr>
        <w:spacing w:after="0"/>
      </w:pPr>
      <w:r>
        <w:rPr>
          <w:rFonts w:ascii="Consolas" w:cs="Consolas" w:eastAsia="Consolas" w:hAnsi="Consolas"/>
          <w:color w:val="2C3E50"/>
          <w:sz w:val="18"/>
          <w:szCs w:val="18"/>
        </w:rPr>
        <w:t xml:space="preserve">  ▼</w:t>
      </w:r>
    </w:p>
    <w:p>
      <w:pPr>
        <w:spacing w:after="0"/>
      </w:pPr>
      <w:r>
        <w:rPr>
          <w:rFonts w:ascii="Consolas" w:cs="Consolas" w:eastAsia="Consolas" w:hAnsi="Consolas"/>
          <w:color w:val="2C3E50"/>
          <w:sz w:val="18"/>
          <w:szCs w:val="18"/>
        </w:rPr>
        <w:t xml:space="preserve">APIM → iHub HTTP Trigger → Returns 202 + status URL</w:t>
      </w:r>
    </w:p>
    <w:p>
      <w:pPr>
        <w:spacing w:after="0"/>
      </w:pPr>
      <w:r>
        <w:rPr>
          <w:rFonts w:ascii="Consolas" w:cs="Consolas" w:eastAsia="Consolas" w:hAnsi="Consolas"/>
          <w:color w:val="2C3E50"/>
          <w:sz w:val="18"/>
          <w:szCs w:val="18"/>
        </w:rPr>
        <w:t xml:space="preserve">  │</w:t>
      </w:r>
    </w:p>
    <w:p>
      <w:pPr>
        <w:spacing w:after="0"/>
      </w:pPr>
      <w:r>
        <w:rPr>
          <w:rFonts w:ascii="Consolas" w:cs="Consolas" w:eastAsia="Consolas" w:hAnsi="Consolas"/>
          <w:color w:val="2C3E50"/>
          <w:sz w:val="18"/>
          <w:szCs w:val="18"/>
        </w:rPr>
        <w:t xml:space="preserve">  ▼</w:t>
      </w:r>
    </w:p>
    <w:p>
      <w:pPr>
        <w:spacing w:after="0"/>
      </w:pPr>
      <w:r>
        <w:rPr>
          <w:rFonts w:ascii="Consolas" w:cs="Consolas" w:eastAsia="Consolas" w:hAnsi="Consolas"/>
          <w:color w:val="2C3E50"/>
          <w:sz w:val="18"/>
          <w:szCs w:val="18"/>
        </w:rPr>
        <w:t xml:space="preserve">Orchestrator</w:t>
      </w:r>
    </w:p>
    <w:p>
      <w:pPr>
        <w:spacing w:after="0"/>
      </w:pPr>
      <w:r>
        <w:rPr>
          <w:rFonts w:ascii="Consolas" w:cs="Consolas" w:eastAsia="Consolas" w:hAnsi="Consolas"/>
          <w:color w:val="2C3E50"/>
          <w:sz w:val="18"/>
          <w:szCs w:val="18"/>
        </w:rPr>
        <w:t xml:space="preserve">  │</w:t>
      </w:r>
    </w:p>
    <w:p>
      <w:pPr>
        <w:spacing w:after="0"/>
      </w:pPr>
      <w:r>
        <w:rPr>
          <w:rFonts w:ascii="Consolas" w:cs="Consolas" w:eastAsia="Consolas" w:hAnsi="Consolas"/>
          <w:color w:val="2C3E50"/>
          <w:sz w:val="18"/>
          <w:szCs w:val="18"/>
        </w:rPr>
        <w:t xml:space="preserve">  ├─ Activity: POST /sql/statements (wait_timeout=0s)</w:t>
      </w:r>
    </w:p>
    <w:p>
      <w:pPr>
        <w:spacing w:after="0"/>
      </w:pPr>
      <w:r>
        <w:rPr>
          <w:rFonts w:ascii="Consolas" w:cs="Consolas" w:eastAsia="Consolas" w:hAnsi="Consolas"/>
          <w:color w:val="2C3E50"/>
          <w:sz w:val="18"/>
          <w:szCs w:val="18"/>
        </w:rPr>
        <w:t xml:space="preserve">  │   └─ Returns statement_id</w:t>
      </w:r>
    </w:p>
    <w:p>
      <w:pPr>
        <w:spacing w:after="0"/>
      </w:pPr>
      <w:r>
        <w:rPr>
          <w:rFonts w:ascii="Consolas" w:cs="Consolas" w:eastAsia="Consolas" w:hAnsi="Consolas"/>
          <w:color w:val="2C3E50"/>
          <w:sz w:val="18"/>
          <w:szCs w:val="18"/>
        </w:rPr>
        <w:t xml:space="preserve">  │</w:t>
      </w:r>
    </w:p>
    <w:p>
      <w:pPr>
        <w:spacing w:after="0"/>
      </w:pPr>
      <w:r>
        <w:rPr>
          <w:rFonts w:ascii="Consolas" w:cs="Consolas" w:eastAsia="Consolas" w:hAnsi="Consolas"/>
          <w:color w:val="2C3E50"/>
          <w:sz w:val="18"/>
          <w:szCs w:val="18"/>
        </w:rPr>
        <w:t xml:space="preserve">  ├─ CreateTimer(15s) → zero compute cost</w:t>
      </w:r>
    </w:p>
    <w:p>
      <w:pPr>
        <w:spacing w:after="0"/>
      </w:pPr>
      <w:r>
        <w:rPr>
          <w:rFonts w:ascii="Consolas" w:cs="Consolas" w:eastAsia="Consolas" w:hAnsi="Consolas"/>
          <w:color w:val="2C3E50"/>
          <w:sz w:val="18"/>
          <w:szCs w:val="18"/>
        </w:rPr>
        <w:t xml:space="preserve">  │</w:t>
      </w:r>
    </w:p>
    <w:p>
      <w:pPr>
        <w:spacing w:after="0"/>
      </w:pPr>
      <w:r>
        <w:rPr>
          <w:rFonts w:ascii="Consolas" w:cs="Consolas" w:eastAsia="Consolas" w:hAnsi="Consolas"/>
          <w:color w:val="2C3E50"/>
          <w:sz w:val="18"/>
          <w:szCs w:val="18"/>
        </w:rPr>
        <w:t xml:space="preserve">  ├─ Activity: GET /sql/statements/{id} → RUNNING</w:t>
      </w:r>
    </w:p>
    <w:p>
      <w:pPr>
        <w:spacing w:after="0"/>
      </w:pPr>
      <w:r>
        <w:rPr>
          <w:rFonts w:ascii="Consolas" w:cs="Consolas" w:eastAsia="Consolas" w:hAnsi="Consolas"/>
          <w:color w:val="2C3E50"/>
          <w:sz w:val="18"/>
          <w:szCs w:val="18"/>
        </w:rPr>
        <w:t xml:space="preserve">  ├─ CreateTimer(5s)</w:t>
      </w:r>
    </w:p>
    <w:p>
      <w:pPr>
        <w:spacing w:after="0"/>
      </w:pPr>
      <w:r>
        <w:rPr>
          <w:rFonts w:ascii="Consolas" w:cs="Consolas" w:eastAsia="Consolas" w:hAnsi="Consolas"/>
          <w:color w:val="2C3E50"/>
          <w:sz w:val="18"/>
          <w:szCs w:val="18"/>
        </w:rPr>
        <w:t xml:space="preserve">  ├─ Activity: GET /sql/statements/{id} → RUNNING</w:t>
      </w:r>
    </w:p>
    <w:p>
      <w:pPr>
        <w:spacing w:after="0"/>
      </w:pPr>
      <w:r>
        <w:rPr>
          <w:rFonts w:ascii="Consolas" w:cs="Consolas" w:eastAsia="Consolas" w:hAnsi="Consolas"/>
          <w:color w:val="2C3E50"/>
          <w:sz w:val="18"/>
          <w:szCs w:val="18"/>
        </w:rPr>
        <w:t xml:space="preserve">  ├─ CreateTimer(5s)</w:t>
      </w:r>
    </w:p>
    <w:p>
      <w:pPr>
        <w:spacing w:after="0"/>
      </w:pPr>
      <w:r>
        <w:rPr>
          <w:rFonts w:ascii="Consolas" w:cs="Consolas" w:eastAsia="Consolas" w:hAnsi="Consolas"/>
          <w:color w:val="2C3E50"/>
          <w:sz w:val="18"/>
          <w:szCs w:val="18"/>
        </w:rPr>
        <w:t xml:space="preserve">  ├─ Activity: GET /sql/statements/{id} → SUCCEEDED</w:t>
      </w:r>
    </w:p>
    <w:p>
      <w:pPr>
        <w:spacing w:after="0"/>
      </w:pPr>
      <w:r>
        <w:rPr>
          <w:rFonts w:ascii="Consolas" w:cs="Consolas" w:eastAsia="Consolas" w:hAnsi="Consolas"/>
          <w:color w:val="2C3E50"/>
          <w:sz w:val="18"/>
          <w:szCs w:val="18"/>
        </w:rPr>
        <w:t xml:space="preserve">  │</w:t>
      </w:r>
    </w:p>
    <w:p>
      <w:pPr>
        <w:spacing w:after="0"/>
      </w:pPr>
      <w:r>
        <w:rPr>
          <w:rFonts w:ascii="Consolas" w:cs="Consolas" w:eastAsia="Consolas" w:hAnsi="Consolas"/>
          <w:color w:val="2C3E50"/>
          <w:sz w:val="18"/>
          <w:szCs w:val="18"/>
        </w:rPr>
        <w:t xml:space="preserve">  └─ Map Databricks response → Common Model → Return</w:t>
      </w:r>
    </w:p>
    <w:p>
      <w:r>
        <w:br w:type="page"/>
      </w:r>
    </w:p>
    <w:p>
      <w:pPr>
        <w:pStyle w:val="Heading1"/>
        <w:spacing w:after="200" w:before="360"/>
      </w:pPr>
      <w:r>
        <w:rPr>
          <w:b/>
          <w:bCs/>
        </w:rPr>
        <w:t xml:space="preserve">8. Provider Example 2: LloydsMDR (External REST API)</w:t>
      </w:r>
    </w:p>
    <w:p>
      <w:pPr>
        <w:spacing w:after="120"/>
      </w:pPr>
      <w:r>
        <w:rPr>
          <w:rFonts w:ascii="Arial" w:cs="Arial" w:eastAsia="Arial" w:hAnsi="Arial"/>
          <w:sz w:val="22"/>
          <w:szCs w:val="22"/>
        </w:rPr>
        <w:t xml:space="preserve">LloydsMDR is an external provider. iHub calls Lloyd's REST API to search their Market Data Repository. The caller sends the exact same request body — only the X-Risk-Data-Provider header changes.</w:t>
      </w:r>
    </w:p>
    <w:p>
      <w:pPr>
        <w:spacing w:after="60"/>
      </w:pPr>
    </w:p>
    <w:p>
      <w:pPr>
        <w:pStyle w:val="Heading2"/>
        <w:spacing w:after="160" w:before="280"/>
      </w:pPr>
      <w:r>
        <w:rPr>
          <w:b/>
          <w:bCs/>
        </w:rPr>
        <w:t xml:space="preserve">8.1 How It Works</w:t>
      </w:r>
    </w:p>
    <w:p>
      <w:pPr>
        <w:pStyle w:val="ListParagraph"/>
        <w:numPr>
          <w:ilvl w:val="0"/>
          <w:numId w:val="3"/>
        </w:numPr>
        <w:spacing w:after="80"/>
      </w:pPr>
      <w:r>
        <w:rPr>
          <w:rFonts w:ascii="Arial" w:cs="Arial" w:eastAsia="Arial" w:hAnsi="Arial"/>
          <w:b/>
          <w:bCs/>
          <w:sz w:val="22"/>
          <w:szCs w:val="22"/>
        </w:rPr>
        <w:t xml:space="preserve">Caller </w:t>
      </w:r>
      <w:r>
        <w:rPr>
          <w:rFonts w:ascii="Arial" w:cs="Arial" w:eastAsia="Arial" w:hAnsi="Arial"/>
          <w:sz w:val="22"/>
          <w:szCs w:val="22"/>
        </w:rPr>
        <w:t xml:space="preserve">sends POST /risks with X-Risk-Data-Provider: LloydsMDR.</w:t>
      </w:r>
    </w:p>
    <w:p>
      <w:pPr>
        <w:pStyle w:val="ListParagraph"/>
        <w:numPr>
          <w:ilvl w:val="0"/>
          <w:numId w:val="3"/>
        </w:numPr>
        <w:spacing w:after="80"/>
      </w:pPr>
      <w:r>
        <w:rPr>
          <w:rFonts w:ascii="Arial" w:cs="Arial" w:eastAsia="Arial" w:hAnsi="Arial"/>
          <w:b/>
          <w:bCs/>
          <w:sz w:val="22"/>
          <w:szCs w:val="22"/>
        </w:rPr>
        <w:t xml:space="preserve">APIM </w:t>
      </w:r>
      <w:r>
        <w:rPr>
          <w:rFonts w:ascii="Arial" w:cs="Arial" w:eastAsia="Arial" w:hAnsi="Arial"/>
          <w:sz w:val="22"/>
          <w:szCs w:val="22"/>
        </w:rPr>
        <w:t xml:space="preserve">validates JWT + subscription key, routes to iHub.</w:t>
      </w:r>
    </w:p>
    <w:p>
      <w:pPr>
        <w:pStyle w:val="ListParagraph"/>
        <w:numPr>
          <w:ilvl w:val="0"/>
          <w:numId w:val="3"/>
        </w:numPr>
        <w:spacing w:after="80"/>
      </w:pPr>
      <w:r>
        <w:rPr>
          <w:rFonts w:ascii="Arial" w:cs="Arial" w:eastAsia="Arial" w:hAnsi="Arial"/>
          <w:b/>
          <w:bCs/>
          <w:sz w:val="22"/>
          <w:szCs w:val="22"/>
        </w:rPr>
        <w:t xml:space="preserve">iHub Orchestrator </w:t>
      </w:r>
      <w:r>
        <w:rPr>
          <w:rFonts w:ascii="Arial" w:cs="Arial" w:eastAsia="Arial" w:hAnsi="Arial"/>
          <w:sz w:val="22"/>
          <w:szCs w:val="22"/>
        </w:rPr>
        <w:t xml:space="preserve">reads X-Risk-Data-Provider, looks up LloydsMDR in provider registry config.</w:t>
      </w:r>
    </w:p>
    <w:p>
      <w:pPr>
        <w:pStyle w:val="ListParagraph"/>
        <w:numPr>
          <w:ilvl w:val="0"/>
          <w:numId w:val="3"/>
        </w:numPr>
        <w:spacing w:after="80"/>
      </w:pPr>
      <w:r>
        <w:rPr>
          <w:rFonts w:ascii="Arial" w:cs="Arial" w:eastAsia="Arial" w:hAnsi="Arial"/>
          <w:b/>
          <w:bCs/>
          <w:sz w:val="22"/>
          <w:szCs w:val="22"/>
        </w:rPr>
        <w:t xml:space="preserve">LloydsMDR Activity </w:t>
      </w:r>
      <w:r>
        <w:rPr>
          <w:rFonts w:ascii="Arial" w:cs="Arial" w:eastAsia="Arial" w:hAnsi="Arial"/>
          <w:sz w:val="22"/>
          <w:szCs w:val="22"/>
        </w:rPr>
        <w:t xml:space="preserve">acquires OAuth2 token from Lloyd's token endpoint using client credentials from Key Vault.</w:t>
      </w:r>
    </w:p>
    <w:p>
      <w:pPr>
        <w:pStyle w:val="ListParagraph"/>
        <w:numPr>
          <w:ilvl w:val="0"/>
          <w:numId w:val="3"/>
        </w:numPr>
        <w:spacing w:after="80"/>
      </w:pPr>
      <w:r>
        <w:rPr>
          <w:rFonts w:ascii="Arial" w:cs="Arial" w:eastAsia="Arial" w:hAnsi="Arial"/>
          <w:b/>
          <w:bCs/>
          <w:sz w:val="22"/>
          <w:szCs w:val="22"/>
        </w:rPr>
        <w:t xml:space="preserve">Activity </w:t>
      </w:r>
      <w:r>
        <w:rPr>
          <w:rFonts w:ascii="Arial" w:cs="Arial" w:eastAsia="Arial" w:hAnsi="Arial"/>
          <w:sz w:val="22"/>
          <w:szCs w:val="22"/>
        </w:rPr>
        <w:t xml:space="preserve">maps common domain model request to Lloyd's API format (different field names, different enums).</w:t>
      </w:r>
    </w:p>
    <w:p>
      <w:pPr>
        <w:pStyle w:val="ListParagraph"/>
        <w:numPr>
          <w:ilvl w:val="0"/>
          <w:numId w:val="3"/>
        </w:numPr>
        <w:spacing w:after="80"/>
      </w:pPr>
      <w:r>
        <w:rPr>
          <w:rFonts w:ascii="Arial" w:cs="Arial" w:eastAsia="Arial" w:hAnsi="Arial"/>
          <w:b/>
          <w:bCs/>
          <w:sz w:val="22"/>
          <w:szCs w:val="22"/>
        </w:rPr>
        <w:t xml:space="preserve">Activity </w:t>
      </w:r>
      <w:r>
        <w:rPr>
          <w:rFonts w:ascii="Arial" w:cs="Arial" w:eastAsia="Arial" w:hAnsi="Arial"/>
          <w:sz w:val="22"/>
          <w:szCs w:val="22"/>
        </w:rPr>
        <w:t xml:space="preserve">calls POST https://api.lloyds.com/mdr/v2/risks/search with Bearer token. Polly handles retry + timeout.</w:t>
      </w:r>
    </w:p>
    <w:p>
      <w:pPr>
        <w:pStyle w:val="ListParagraph"/>
        <w:numPr>
          <w:ilvl w:val="0"/>
          <w:numId w:val="3"/>
        </w:numPr>
        <w:spacing w:after="80"/>
      </w:pPr>
      <w:r>
        <w:rPr>
          <w:rFonts w:ascii="Arial" w:cs="Arial" w:eastAsia="Arial" w:hAnsi="Arial"/>
          <w:b/>
          <w:bCs/>
          <w:sz w:val="22"/>
          <w:szCs w:val="22"/>
        </w:rPr>
        <w:t xml:space="preserve">Activity </w:t>
      </w:r>
      <w:r>
        <w:rPr>
          <w:rFonts w:ascii="Arial" w:cs="Arial" w:eastAsia="Arial" w:hAnsi="Arial"/>
          <w:sz w:val="22"/>
          <w:szCs w:val="22"/>
        </w:rPr>
        <w:t xml:space="preserve">maps Lloyd's response back to common response model (flat RiskMatch objects).</w:t>
      </w:r>
    </w:p>
    <w:p>
      <w:pPr>
        <w:pStyle w:val="ListParagraph"/>
        <w:numPr>
          <w:ilvl w:val="0"/>
          <w:numId w:val="3"/>
        </w:numPr>
        <w:spacing w:after="80"/>
      </w:pPr>
      <w:r>
        <w:rPr>
          <w:rFonts w:ascii="Arial" w:cs="Arial" w:eastAsia="Arial" w:hAnsi="Arial"/>
          <w:b/>
          <w:bCs/>
          <w:sz w:val="22"/>
          <w:szCs w:val="22"/>
        </w:rPr>
        <w:t xml:space="preserve">Orchestrator </w:t>
      </w:r>
      <w:r>
        <w:rPr>
          <w:rFonts w:ascii="Arial" w:cs="Arial" w:eastAsia="Arial" w:hAnsi="Arial"/>
          <w:sz w:val="22"/>
          <w:szCs w:val="22"/>
        </w:rPr>
        <w:t xml:space="preserve">returns response.</w:t>
      </w:r>
    </w:p>
    <w:p>
      <w:pPr>
        <w:spacing w:after="60"/>
      </w:pPr>
    </w:p>
    <w:p>
      <w:pPr>
        <w:pStyle w:val="Heading2"/>
        <w:spacing w:after="160" w:before="280"/>
      </w:pPr>
      <w:r>
        <w:rPr>
          <w:b/>
          <w:bCs/>
        </w:rPr>
        <w:t xml:space="preserve">8.2 Configuration (Azure App Configuration)</w:t>
      </w:r>
    </w:p>
    <w:p>
      <w:pPr>
        <w:spacing w:after="0"/>
      </w:pPr>
      <w:r>
        <w:rPr>
          <w:rFonts w:ascii="Consolas" w:cs="Consolas" w:eastAsia="Consolas" w:hAnsi="Consolas"/>
          <w:color w:val="2C3E50"/>
          <w:sz w:val="18"/>
          <w:szCs w:val="18"/>
        </w:rPr>
        <w:t xml:space="preserve">{</w:t>
      </w:r>
    </w:p>
    <w:p>
      <w:pPr>
        <w:spacing w:after="0"/>
      </w:pPr>
      <w:r>
        <w:rPr>
          <w:rFonts w:ascii="Consolas" w:cs="Consolas" w:eastAsia="Consolas" w:hAnsi="Consolas"/>
          <w:color w:val="2C3E50"/>
          <w:sz w:val="18"/>
          <w:szCs w:val="18"/>
        </w:rPr>
        <w:t xml:space="preserve">  "LloydsMDR": {</w:t>
      </w:r>
    </w:p>
    <w:p>
      <w:pPr>
        <w:spacing w:after="0"/>
      </w:pPr>
      <w:r>
        <w:rPr>
          <w:rFonts w:ascii="Consolas" w:cs="Consolas" w:eastAsia="Consolas" w:hAnsi="Consolas"/>
          <w:color w:val="2C3E50"/>
          <w:sz w:val="18"/>
          <w:szCs w:val="18"/>
        </w:rPr>
        <w:t xml:space="preserve">    "type": "ExternalApi",</w:t>
      </w:r>
    </w:p>
    <w:p>
      <w:pPr>
        <w:spacing w:after="0"/>
      </w:pPr>
      <w:r>
        <w:rPr>
          <w:rFonts w:ascii="Consolas" w:cs="Consolas" w:eastAsia="Consolas" w:hAnsi="Consolas"/>
          <w:color w:val="2C3E50"/>
          <w:sz w:val="18"/>
          <w:szCs w:val="18"/>
        </w:rPr>
        <w:t xml:space="preserve">    "endpoint": {</w:t>
      </w:r>
    </w:p>
    <w:p>
      <w:pPr>
        <w:spacing w:after="0"/>
      </w:pPr>
      <w:r>
        <w:rPr>
          <w:rFonts w:ascii="Consolas" w:cs="Consolas" w:eastAsia="Consolas" w:hAnsi="Consolas"/>
          <w:color w:val="2C3E50"/>
          <w:sz w:val="18"/>
          <w:szCs w:val="18"/>
        </w:rPr>
        <w:t xml:space="preserve">      "baseUrl": "https://api.lloyds.com/mdr/v2",</w:t>
      </w:r>
    </w:p>
    <w:p>
      <w:pPr>
        <w:spacing w:after="0"/>
      </w:pPr>
      <w:r>
        <w:rPr>
          <w:rFonts w:ascii="Consolas" w:cs="Consolas" w:eastAsia="Consolas" w:hAnsi="Consolas"/>
          <w:color w:val="2C3E50"/>
          <w:sz w:val="18"/>
          <w:szCs w:val="18"/>
        </w:rPr>
        <w:t xml:space="preserve">      "path": "/risks/search",</w:t>
      </w:r>
    </w:p>
    <w:p>
      <w:pPr>
        <w:spacing w:after="0"/>
      </w:pPr>
      <w:r>
        <w:rPr>
          <w:rFonts w:ascii="Consolas" w:cs="Consolas" w:eastAsia="Consolas" w:hAnsi="Consolas"/>
          <w:color w:val="2C3E50"/>
          <w:sz w:val="18"/>
          <w:szCs w:val="18"/>
        </w:rPr>
        <w:t xml:space="preserve">      "authType": "OAuth2_ClientCredentials",</w:t>
      </w:r>
    </w:p>
    <w:p>
      <w:pPr>
        <w:spacing w:after="0"/>
      </w:pPr>
      <w:r>
        <w:rPr>
          <w:rFonts w:ascii="Consolas" w:cs="Consolas" w:eastAsia="Consolas" w:hAnsi="Consolas"/>
          <w:color w:val="2C3E50"/>
          <w:sz w:val="18"/>
          <w:szCs w:val="18"/>
        </w:rPr>
        <w:t xml:space="preserve">      "tokenEndpoint": "https://auth.lloyds.com/oauth/token",</w:t>
      </w:r>
    </w:p>
    <w:p>
      <w:pPr>
        <w:spacing w:after="0"/>
      </w:pPr>
      <w:r>
        <w:rPr>
          <w:rFonts w:ascii="Consolas" w:cs="Consolas" w:eastAsia="Consolas" w:hAnsi="Consolas"/>
          <w:color w:val="2C3E50"/>
          <w:sz w:val="18"/>
          <w:szCs w:val="18"/>
        </w:rPr>
        <w:t xml:space="preserve">      "clientId": "#{KeyVault:LloydsMDR-ClientId}#",</w:t>
      </w:r>
    </w:p>
    <w:p>
      <w:pPr>
        <w:spacing w:after="0"/>
      </w:pPr>
      <w:r>
        <w:rPr>
          <w:rFonts w:ascii="Consolas" w:cs="Consolas" w:eastAsia="Consolas" w:hAnsi="Consolas"/>
          <w:color w:val="2C3E50"/>
          <w:sz w:val="18"/>
          <w:szCs w:val="18"/>
        </w:rPr>
        <w:t xml:space="preserve">      "clientSecret": "#{KeyVault:LloydsMDR-ClientSecret}#",</w:t>
      </w:r>
    </w:p>
    <w:p>
      <w:pPr>
        <w:spacing w:after="0"/>
      </w:pPr>
      <w:r>
        <w:rPr>
          <w:rFonts w:ascii="Consolas" w:cs="Consolas" w:eastAsia="Consolas" w:hAnsi="Consolas"/>
          <w:color w:val="2C3E50"/>
          <w:sz w:val="18"/>
          <w:szCs w:val="18"/>
        </w:rPr>
        <w:t xml:space="preserve">      "scopes": ["mdr.read"]</w:t>
      </w:r>
    </w:p>
    <w:p>
      <w:pPr>
        <w:spacing w:after="0"/>
      </w:pPr>
      <w:r>
        <w:rPr>
          <w:rFonts w:ascii="Consolas" w:cs="Consolas" w:eastAsia="Consolas" w:hAnsi="Consolas"/>
          <w:color w:val="2C3E50"/>
          <w:sz w:val="18"/>
          <w:szCs w:val="18"/>
        </w:rPr>
        <w:t xml:space="preserve">    },</w:t>
      </w:r>
    </w:p>
    <w:p>
      <w:pPr>
        <w:spacing w:after="0"/>
      </w:pPr>
      <w:r>
        <w:rPr>
          <w:rFonts w:ascii="Consolas" w:cs="Consolas" w:eastAsia="Consolas" w:hAnsi="Consolas"/>
          <w:color w:val="2C3E50"/>
          <w:sz w:val="18"/>
          <w:szCs w:val="18"/>
        </w:rPr>
        <w:t xml:space="preserve">    "resilience": {</w:t>
      </w:r>
    </w:p>
    <w:p>
      <w:pPr>
        <w:spacing w:after="0"/>
      </w:pPr>
      <w:r>
        <w:rPr>
          <w:rFonts w:ascii="Consolas" w:cs="Consolas" w:eastAsia="Consolas" w:hAnsi="Consolas"/>
          <w:color w:val="2C3E50"/>
          <w:sz w:val="18"/>
          <w:szCs w:val="18"/>
        </w:rPr>
        <w:t xml:space="preserve">      "timeoutSeconds": 30,</w:t>
      </w:r>
    </w:p>
    <w:p>
      <w:pPr>
        <w:spacing w:after="0"/>
      </w:pPr>
      <w:r>
        <w:rPr>
          <w:rFonts w:ascii="Consolas" w:cs="Consolas" w:eastAsia="Consolas" w:hAnsi="Consolas"/>
          <w:color w:val="2C3E50"/>
          <w:sz w:val="18"/>
          <w:szCs w:val="18"/>
        </w:rPr>
        <w:t xml:space="preserve">      "retryCount": 3,</w:t>
      </w:r>
    </w:p>
    <w:p>
      <w:pPr>
        <w:spacing w:after="0"/>
      </w:pPr>
      <w:r>
        <w:rPr>
          <w:rFonts w:ascii="Consolas" w:cs="Consolas" w:eastAsia="Consolas" w:hAnsi="Consolas"/>
          <w:color w:val="2C3E50"/>
          <w:sz w:val="18"/>
          <w:szCs w:val="18"/>
        </w:rPr>
        <w:t xml:space="preserve">      "retryDelayMs": 500,</w:t>
      </w:r>
    </w:p>
    <w:p>
      <w:pPr>
        <w:spacing w:after="0"/>
      </w:pPr>
      <w:r>
        <w:rPr>
          <w:rFonts w:ascii="Consolas" w:cs="Consolas" w:eastAsia="Consolas" w:hAnsi="Consolas"/>
          <w:color w:val="2C3E50"/>
          <w:sz w:val="18"/>
          <w:szCs w:val="18"/>
        </w:rPr>
        <w:t xml:space="preserve">      "circuitBreaker": {</w:t>
      </w:r>
    </w:p>
    <w:p>
      <w:pPr>
        <w:spacing w:after="0"/>
      </w:pPr>
      <w:r>
        <w:rPr>
          <w:rFonts w:ascii="Consolas" w:cs="Consolas" w:eastAsia="Consolas" w:hAnsi="Consolas"/>
          <w:color w:val="2C3E50"/>
          <w:sz w:val="18"/>
          <w:szCs w:val="18"/>
        </w:rPr>
        <w:t xml:space="preserve">        "failureThreshold": 5,</w:t>
      </w:r>
    </w:p>
    <w:p>
      <w:pPr>
        <w:spacing w:after="0"/>
      </w:pPr>
      <w:r>
        <w:rPr>
          <w:rFonts w:ascii="Consolas" w:cs="Consolas" w:eastAsia="Consolas" w:hAnsi="Consolas"/>
          <w:color w:val="2C3E50"/>
          <w:sz w:val="18"/>
          <w:szCs w:val="18"/>
        </w:rPr>
        <w:t xml:space="preserve">        "breakDurationSeconds": 60</w:t>
      </w:r>
    </w:p>
    <w:p>
      <w:pPr>
        <w:spacing w:after="0"/>
      </w:pPr>
      <w:r>
        <w:rPr>
          <w:rFonts w:ascii="Consolas" w:cs="Consolas" w:eastAsia="Consolas" w:hAnsi="Consolas"/>
          <w:color w:val="2C3E50"/>
          <w:sz w:val="18"/>
          <w:szCs w:val="18"/>
        </w:rPr>
        <w:t xml:space="preserve">      }</w:t>
      </w:r>
    </w:p>
    <w:p>
      <w:pPr>
        <w:spacing w:after="0"/>
      </w:pPr>
      <w:r>
        <w:rPr>
          <w:rFonts w:ascii="Consolas" w:cs="Consolas" w:eastAsia="Consolas" w:hAnsi="Consolas"/>
          <w:color w:val="2C3E50"/>
          <w:sz w:val="18"/>
          <w:szCs w:val="18"/>
        </w:rPr>
        <w:t xml:space="preserve">    }</w:t>
      </w:r>
    </w:p>
    <w:p>
      <w:pPr>
        <w:spacing w:after="0"/>
      </w:pPr>
      <w:r>
        <w:rPr>
          <w:rFonts w:ascii="Consolas" w:cs="Consolas" w:eastAsia="Consolas" w:hAnsi="Consolas"/>
          <w:color w:val="2C3E50"/>
          <w:sz w:val="18"/>
          <w:szCs w:val="18"/>
        </w:rPr>
        <w:t xml:space="preserve">  }</w:t>
      </w:r>
    </w:p>
    <w:p>
      <w:pPr>
        <w:spacing w:after="0"/>
      </w:pPr>
      <w:r>
        <w:rPr>
          <w:rFonts w:ascii="Consolas" w:cs="Consolas" w:eastAsia="Consolas" w:hAnsi="Consolas"/>
          <w:color w:val="2C3E50"/>
          <w:sz w:val="18"/>
          <w:szCs w:val="18"/>
        </w:rPr>
        <w:t xml:space="preserve">}</w:t>
      </w:r>
    </w:p>
    <w:p>
      <w:pPr>
        <w:spacing w:after="60"/>
      </w:pPr>
    </w:p>
    <w:p>
      <w:pPr>
        <w:spacing w:after="120"/>
      </w:pPr>
      <w:r>
        <w:rPr>
          <w:rFonts w:ascii="Arial" w:cs="Arial" w:eastAsia="Arial" w:hAnsi="Arial"/>
          <w:sz w:val="22"/>
          <w:szCs w:val="22"/>
        </w:rPr>
        <w:t xml:space="preserve">Secrets (Azure Key Vault):</w:t>
      </w:r>
    </w:p>
    <w:p>
      <w:pPr>
        <w:pStyle w:val="ListParagraph"/>
        <w:numPr>
          <w:ilvl w:val="0"/>
          <w:numId w:val="2"/>
        </w:numPr>
        <w:spacing w:after="80"/>
      </w:pPr>
      <w:r>
        <w:rPr>
          <w:rFonts w:ascii="Arial" w:cs="Arial" w:eastAsia="Arial" w:hAnsi="Arial"/>
          <w:sz w:val="22"/>
          <w:szCs w:val="22"/>
        </w:rPr>
        <w:t xml:space="preserve">LloydsMDR-ClientId — OAuth2 client ID</w:t>
      </w:r>
    </w:p>
    <w:p>
      <w:pPr>
        <w:pStyle w:val="ListParagraph"/>
        <w:numPr>
          <w:ilvl w:val="0"/>
          <w:numId w:val="2"/>
        </w:numPr>
        <w:spacing w:after="80"/>
      </w:pPr>
      <w:r>
        <w:rPr>
          <w:rFonts w:ascii="Arial" w:cs="Arial" w:eastAsia="Arial" w:hAnsi="Arial"/>
          <w:sz w:val="22"/>
          <w:szCs w:val="22"/>
        </w:rPr>
        <w:t xml:space="preserve">LloydsMDR-ClientSecret — OAuth2 client secret</w:t>
      </w:r>
    </w:p>
    <w:p>
      <w:pPr>
        <w:spacing w:after="60"/>
      </w:pPr>
    </w:p>
    <w:p>
      <w:pPr>
        <w:pStyle w:val="Heading2"/>
        <w:spacing w:after="160" w:before="280"/>
      </w:pPr>
      <w:r>
        <w:rPr>
          <w:b/>
          <w:bCs/>
        </w:rPr>
        <w:t xml:space="preserve">8.3 Request Mapping (Adapter)</w:t>
      </w:r>
    </w:p>
    <w:p>
      <w:pPr>
        <w:spacing w:after="120"/>
      </w:pPr>
      <w:r>
        <w:rPr>
          <w:rFonts w:ascii="Arial" w:cs="Arial" w:eastAsia="Arial" w:hAnsi="Arial"/>
          <w:sz w:val="22"/>
          <w:szCs w:val="22"/>
        </w:rPr>
        <w:t xml:space="preserve">The adapter translates common domain model fields to Lloyd's API field names: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Common Model (Our Request)</w:t>
            </w:r>
          </w:p>
        </w:tc>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Lloyd's API (Their Format)</w:t>
            </w:r>
          </w:p>
        </w:tc>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entityName</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companyName</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Direct mapping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countryCode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jurisdiction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Renamed</w:t>
            </w:r>
          </w:p>
        </w:tc>
      </w:tr>
      <w:tr>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dataSources: ["Eclipse"]</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sources: ["ECL"]</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Enum mapping per provider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searchPeriodMonths: 12</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fromDate: 2025-03-05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Converted to absolute date</w:t>
            </w:r>
          </w:p>
        </w:tc>
      </w:tr>
      <w:tr>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statusFilter: ["Bound"]</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policyStatus: ["ACTIVE"]</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Enum mapping required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confidenceScore: 70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minMatchScore: 70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Renamed</w:t>
            </w:r>
          </w:p>
        </w:tc>
      </w:tr>
      <w:tr>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numberOfResults: 5</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maxResults: 5</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Renamed</w:t>
            </w:r>
          </w:p>
        </w:tc>
      </w:tr>
    </w:tbl>
    <w:p>
      <w:pPr>
        <w:spacing w:after="60"/>
      </w:pPr>
    </w:p>
    <w:p>
      <w:pPr>
        <w:pStyle w:val="Heading2"/>
        <w:spacing w:after="160" w:before="280"/>
      </w:pPr>
      <w:r>
        <w:rPr>
          <w:b/>
          <w:bCs/>
        </w:rPr>
        <w:t xml:space="preserve">8.4 Response Mapping (Adapter)</w:t>
      </w:r>
    </w:p>
    <w:p>
      <w:pPr>
        <w:spacing w:after="120"/>
      </w:pPr>
      <w:r>
        <w:rPr>
          <w:rFonts w:ascii="Arial" w:cs="Arial" w:eastAsia="Arial" w:hAnsi="Arial"/>
          <w:sz w:val="22"/>
          <w:szCs w:val="22"/>
        </w:rPr>
        <w:t xml:space="preserve">The adapter maps Lloyd's response back to the common model:</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Lloyd's API (Their Response)</w:t>
            </w:r>
          </w:p>
        </w:tc>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Common Model (Our Response)</w:t>
            </w:r>
          </w:p>
        </w:tc>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riskId: LMD-88123</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matchId: LMD-88123</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Direct mapping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companyName: CocaCola</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entityName: CocaCola</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Renamed</w:t>
            </w:r>
          </w:p>
        </w:tc>
      </w:tr>
      <w:tr>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policyStatus: ACTIVE</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status: Bound</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Enum mapping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inceptionDate: 2024-06-01</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inceptionDate: 2024-06-01</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Direct mapping</w:t>
            </w:r>
          </w:p>
        </w:tc>
      </w:tr>
      <w:tr>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matchScore: 91</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confidenceScore: 91</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Renamed + type normalised to integer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returned)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provider: LloydsMDR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Injected by adapter</w:t>
            </w:r>
          </w:p>
        </w:tc>
      </w:tr>
      <w:tr>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source: Eclipse</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dataSource: Eclipse</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Renamed</w:t>
            </w:r>
          </w:p>
        </w:tc>
      </w:tr>
    </w:tbl>
    <w:p>
      <w:pPr>
        <w:spacing w:after="60"/>
      </w:pPr>
    </w:p>
    <w:p>
      <w:pPr>
        <w:pStyle w:val="Heading2"/>
        <w:spacing w:after="160" w:before="280"/>
      </w:pPr>
      <w:r>
        <w:rPr>
          <w:b/>
          <w:bCs/>
        </w:rPr>
        <w:t xml:space="preserve">8.5 Flow Diagram</w:t>
      </w:r>
    </w:p>
    <w:p>
      <w:pPr>
        <w:spacing w:after="0"/>
      </w:pPr>
      <w:r>
        <w:rPr>
          <w:rFonts w:ascii="Consolas" w:cs="Consolas" w:eastAsia="Consolas" w:hAnsi="Consolas"/>
          <w:color w:val="2C3E50"/>
          <w:sz w:val="18"/>
          <w:szCs w:val="18"/>
        </w:rPr>
        <w:t xml:space="preserve">Caller → POST /risks (X-Risk-Data-Provider: LloydsMDR)</w:t>
      </w:r>
    </w:p>
    <w:p>
      <w:pPr>
        <w:spacing w:after="0"/>
      </w:pPr>
      <w:r>
        <w:rPr>
          <w:rFonts w:ascii="Consolas" w:cs="Consolas" w:eastAsia="Consolas" w:hAnsi="Consolas"/>
          <w:color w:val="2C3E50"/>
          <w:sz w:val="18"/>
          <w:szCs w:val="18"/>
        </w:rPr>
        <w:t xml:space="preserve">  │</w:t>
      </w:r>
    </w:p>
    <w:p>
      <w:pPr>
        <w:spacing w:after="0"/>
      </w:pPr>
      <w:r>
        <w:rPr>
          <w:rFonts w:ascii="Consolas" w:cs="Consolas" w:eastAsia="Consolas" w:hAnsi="Consolas"/>
          <w:color w:val="2C3E50"/>
          <w:sz w:val="18"/>
          <w:szCs w:val="18"/>
        </w:rPr>
        <w:t xml:space="preserve">  ▼</w:t>
      </w:r>
    </w:p>
    <w:p>
      <w:pPr>
        <w:spacing w:after="0"/>
      </w:pPr>
      <w:r>
        <w:rPr>
          <w:rFonts w:ascii="Consolas" w:cs="Consolas" w:eastAsia="Consolas" w:hAnsi="Consolas"/>
          <w:color w:val="2C3E50"/>
          <w:sz w:val="18"/>
          <w:szCs w:val="18"/>
        </w:rPr>
        <w:t xml:space="preserve">APIM → iHub HTTP Trigger → Returns 202 + status URL</w:t>
      </w:r>
    </w:p>
    <w:p>
      <w:pPr>
        <w:spacing w:after="0"/>
      </w:pPr>
      <w:r>
        <w:rPr>
          <w:rFonts w:ascii="Consolas" w:cs="Consolas" w:eastAsia="Consolas" w:hAnsi="Consolas"/>
          <w:color w:val="2C3E50"/>
          <w:sz w:val="18"/>
          <w:szCs w:val="18"/>
        </w:rPr>
        <w:t xml:space="preserve">  │</w:t>
      </w:r>
    </w:p>
    <w:p>
      <w:pPr>
        <w:spacing w:after="0"/>
      </w:pPr>
      <w:r>
        <w:rPr>
          <w:rFonts w:ascii="Consolas" w:cs="Consolas" w:eastAsia="Consolas" w:hAnsi="Consolas"/>
          <w:color w:val="2C3E50"/>
          <w:sz w:val="18"/>
          <w:szCs w:val="18"/>
        </w:rPr>
        <w:t xml:space="preserve">  ▼</w:t>
      </w:r>
    </w:p>
    <w:p>
      <w:pPr>
        <w:spacing w:after="0"/>
      </w:pPr>
      <w:r>
        <w:rPr>
          <w:rFonts w:ascii="Consolas" w:cs="Consolas" w:eastAsia="Consolas" w:hAnsi="Consolas"/>
          <w:color w:val="2C3E50"/>
          <w:sz w:val="18"/>
          <w:szCs w:val="18"/>
        </w:rPr>
        <w:t xml:space="preserve">Orchestrator</w:t>
      </w:r>
    </w:p>
    <w:p>
      <w:pPr>
        <w:spacing w:after="0"/>
      </w:pPr>
      <w:r>
        <w:rPr>
          <w:rFonts w:ascii="Consolas" w:cs="Consolas" w:eastAsia="Consolas" w:hAnsi="Consolas"/>
          <w:color w:val="2C3E50"/>
          <w:sz w:val="18"/>
          <w:szCs w:val="18"/>
        </w:rPr>
        <w:t xml:space="preserve">  │</w:t>
      </w:r>
    </w:p>
    <w:p>
      <w:pPr>
        <w:spacing w:after="0"/>
      </w:pPr>
      <w:r>
        <w:rPr>
          <w:rFonts w:ascii="Consolas" w:cs="Consolas" w:eastAsia="Consolas" w:hAnsi="Consolas"/>
          <w:color w:val="2C3E50"/>
          <w:sz w:val="18"/>
          <w:szCs w:val="18"/>
        </w:rPr>
        <w:t xml:space="preserve">  ├─ Activity: Acquire OAuth2 token</w:t>
      </w:r>
    </w:p>
    <w:p>
      <w:pPr>
        <w:spacing w:after="0"/>
      </w:pPr>
      <w:r>
        <w:rPr>
          <w:rFonts w:ascii="Consolas" w:cs="Consolas" w:eastAsia="Consolas" w:hAnsi="Consolas"/>
          <w:color w:val="2C3E50"/>
          <w:sz w:val="18"/>
          <w:szCs w:val="18"/>
        </w:rPr>
        <w:t xml:space="preserve">  │   └─ POST https://auth.lloyds.com/oauth/token</w:t>
      </w:r>
    </w:p>
    <w:p>
      <w:pPr>
        <w:spacing w:after="0"/>
      </w:pPr>
      <w:r>
        <w:rPr>
          <w:rFonts w:ascii="Consolas" w:cs="Consolas" w:eastAsia="Consolas" w:hAnsi="Consolas"/>
          <w:color w:val="2C3E50"/>
          <w:sz w:val="18"/>
          <w:szCs w:val="18"/>
        </w:rPr>
        <w:t xml:space="preserve">  │</w:t>
      </w:r>
    </w:p>
    <w:p>
      <w:pPr>
        <w:spacing w:after="0"/>
      </w:pPr>
      <w:r>
        <w:rPr>
          <w:rFonts w:ascii="Consolas" w:cs="Consolas" w:eastAsia="Consolas" w:hAnsi="Consolas"/>
          <w:color w:val="2C3E50"/>
          <w:sz w:val="18"/>
          <w:szCs w:val="18"/>
        </w:rPr>
        <w:t xml:space="preserve">  ├─ Activity: Map request → Lloyd's format</w:t>
      </w:r>
    </w:p>
    <w:p>
      <w:pPr>
        <w:spacing w:after="0"/>
      </w:pPr>
      <w:r>
        <w:rPr>
          <w:rFonts w:ascii="Consolas" w:cs="Consolas" w:eastAsia="Consolas" w:hAnsi="Consolas"/>
          <w:color w:val="2C3E50"/>
          <w:sz w:val="18"/>
          <w:szCs w:val="18"/>
        </w:rPr>
        <w:t xml:space="preserve">  │</w:t>
      </w:r>
    </w:p>
    <w:p>
      <w:pPr>
        <w:spacing w:after="0"/>
      </w:pPr>
      <w:r>
        <w:rPr>
          <w:rFonts w:ascii="Consolas" w:cs="Consolas" w:eastAsia="Consolas" w:hAnsi="Consolas"/>
          <w:color w:val="2C3E50"/>
          <w:sz w:val="18"/>
          <w:szCs w:val="18"/>
        </w:rPr>
        <w:t xml:space="preserve">  ├─ Activity: POST https://api.lloyds.com/mdr/v2/risks/search</w:t>
      </w:r>
    </w:p>
    <w:p>
      <w:pPr>
        <w:spacing w:after="0"/>
      </w:pPr>
      <w:r>
        <w:rPr>
          <w:rFonts w:ascii="Consolas" w:cs="Consolas" w:eastAsia="Consolas" w:hAnsi="Consolas"/>
          <w:color w:val="2C3E50"/>
          <w:sz w:val="18"/>
          <w:szCs w:val="18"/>
        </w:rPr>
        <w:t xml:space="preserve">  │   └─ (with Polly retry + timeout)</w:t>
      </w:r>
    </w:p>
    <w:p>
      <w:pPr>
        <w:spacing w:after="0"/>
      </w:pPr>
      <w:r>
        <w:rPr>
          <w:rFonts w:ascii="Consolas" w:cs="Consolas" w:eastAsia="Consolas" w:hAnsi="Consolas"/>
          <w:color w:val="2C3E50"/>
          <w:sz w:val="18"/>
          <w:szCs w:val="18"/>
        </w:rPr>
        <w:t xml:space="preserve">  │</w:t>
      </w:r>
    </w:p>
    <w:p>
      <w:pPr>
        <w:spacing w:after="0"/>
      </w:pPr>
      <w:r>
        <w:rPr>
          <w:rFonts w:ascii="Consolas" w:cs="Consolas" w:eastAsia="Consolas" w:hAnsi="Consolas"/>
          <w:color w:val="2C3E50"/>
          <w:sz w:val="18"/>
          <w:szCs w:val="18"/>
        </w:rPr>
        <w:t xml:space="preserve">  ├─ Activity: Map Lloyd's response → Common Model</w:t>
      </w:r>
    </w:p>
    <w:p>
      <w:pPr>
        <w:spacing w:after="0"/>
      </w:pPr>
      <w:r>
        <w:rPr>
          <w:rFonts w:ascii="Consolas" w:cs="Consolas" w:eastAsia="Consolas" w:hAnsi="Consolas"/>
          <w:color w:val="2C3E50"/>
          <w:sz w:val="18"/>
          <w:szCs w:val="18"/>
        </w:rPr>
        <w:t xml:space="preserve">  │</w:t>
      </w:r>
    </w:p>
    <w:p>
      <w:pPr>
        <w:spacing w:after="0"/>
      </w:pPr>
      <w:r>
        <w:rPr>
          <w:rFonts w:ascii="Consolas" w:cs="Consolas" w:eastAsia="Consolas" w:hAnsi="Consolas"/>
          <w:color w:val="2C3E50"/>
          <w:sz w:val="18"/>
          <w:szCs w:val="18"/>
        </w:rPr>
        <w:t xml:space="preserve">  └─ Return RiskClearanceResponse</w:t>
      </w:r>
    </w:p>
    <w:p>
      <w:r>
        <w:br w:type="page"/>
      </w:r>
    </w:p>
    <w:p>
      <w:pPr>
        <w:pStyle w:val="Heading1"/>
        <w:spacing w:after="200" w:before="360"/>
      </w:pPr>
      <w:r>
        <w:rPr>
          <w:b/>
          <w:bCs/>
        </w:rPr>
        <w:t xml:space="preserve">9. Where Everything Lives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760"/>
      </w:tblGrid>
      <w:tr>
        <w:trPr>
          <w:tblHeader/>
        </w:trPr>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What</w:t>
            </w:r>
          </w:p>
        </w:tc>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Where</w:t>
            </w:r>
          </w:p>
        </w:tc>
        <w:tc>
          <w:tcPr>
            <w:tcW w:type="dxa" w:w="27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Why</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Request Body</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Insured details, coverage, search criteria</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HTTP Body (JSON)</w:t>
            </w:r>
          </w:p>
        </w:tc>
        <w:tc>
          <w:tcPr>
            <w:tcW w:type="dxa" w:w="2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Pure domain language, reusable by any caller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HTTP Headers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Entity, product, source ID, correlation ID, provider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HTTP Headers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Envelope and routing are infrastructure, not domain</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Azure App Config</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Provider type, base URLs, API paths, auth type, timeouts, retry policies, polling config</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Azure App Configuration</w:t>
            </w:r>
          </w:p>
        </w:tc>
        <w:tc>
          <w:tcPr>
            <w:tcW w:type="dxa" w:w="2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Change without redeploying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Azure Key Vault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Client IDs, client secrets, API keys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Key Vault (referenced via #{KeyVault:...}#)</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Secrets never in config or requests</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Adapter Code</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Request mapping (our format → their format), response mapping (their format → ours), auth token acquisition</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Provider Adapter (.NET 8)</w:t>
            </w:r>
          </w:p>
        </w:tc>
        <w:tc>
          <w:tcPr>
            <w:tcW w:type="dxa" w:w="2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One adapter per provider</w:t>
            </w:r>
          </w:p>
        </w:tc>
      </w:tr>
    </w:tbl>
    <w:p>
      <w:pPr>
        <w:spacing w:after="60"/>
      </w:pPr>
    </w:p>
    <w:p>
      <w:pPr>
        <w:pStyle w:val="Heading2"/>
        <w:spacing w:after="160" w:before="280"/>
      </w:pPr>
      <w:r>
        <w:rPr>
          <w:b/>
          <w:bCs/>
        </w:rPr>
        <w:t xml:space="preserve">9.1 Adding a New Provider</w:t>
      </w:r>
    </w:p>
    <w:p>
      <w:pPr>
        <w:spacing w:after="120"/>
      </w:pPr>
      <w:r>
        <w:rPr>
          <w:rFonts w:ascii="Arial" w:cs="Arial" w:eastAsia="Arial" w:hAnsi="Arial"/>
          <w:sz w:val="22"/>
          <w:szCs w:val="22"/>
        </w:rPr>
        <w:t xml:space="preserve">To add a new provider (e.g. SwissReCatNet):</w:t>
      </w:r>
    </w:p>
    <w:p>
      <w:pPr>
        <w:pStyle w:val="ListParagraph"/>
        <w:numPr>
          <w:ilvl w:val="0"/>
          <w:numId w:val="3"/>
        </w:numPr>
        <w:spacing w:after="80"/>
      </w:pPr>
      <w:r>
        <w:rPr>
          <w:rFonts w:ascii="Arial" w:cs="Arial" w:eastAsia="Arial" w:hAnsi="Arial"/>
          <w:b/>
          <w:bCs/>
          <w:sz w:val="22"/>
          <w:szCs w:val="22"/>
        </w:rPr>
        <w:t xml:space="preserve">Azure App Configuration: </w:t>
      </w:r>
      <w:r>
        <w:rPr>
          <w:rFonts w:ascii="Arial" w:cs="Arial" w:eastAsia="Arial" w:hAnsi="Arial"/>
          <w:sz w:val="22"/>
          <w:szCs w:val="22"/>
        </w:rPr>
        <w:t xml:space="preserve">Add a new entry to the provider registry with type, baseUrl, path, authType, and resilience settings.</w:t>
      </w:r>
    </w:p>
    <w:p>
      <w:pPr>
        <w:pStyle w:val="ListParagraph"/>
        <w:numPr>
          <w:ilvl w:val="0"/>
          <w:numId w:val="3"/>
        </w:numPr>
        <w:spacing w:after="80"/>
      </w:pPr>
      <w:r>
        <w:rPr>
          <w:rFonts w:ascii="Arial" w:cs="Arial" w:eastAsia="Arial" w:hAnsi="Arial"/>
          <w:b/>
          <w:bCs/>
          <w:sz w:val="22"/>
          <w:szCs w:val="22"/>
        </w:rPr>
        <w:t xml:space="preserve">Azure Key Vault: </w:t>
      </w:r>
      <w:r>
        <w:rPr>
          <w:rFonts w:ascii="Arial" w:cs="Arial" w:eastAsia="Arial" w:hAnsi="Arial"/>
          <w:sz w:val="22"/>
          <w:szCs w:val="22"/>
        </w:rPr>
        <w:t xml:space="preserve">Add any required secrets (API keys, client credentials).</w:t>
      </w:r>
    </w:p>
    <w:p>
      <w:pPr>
        <w:pStyle w:val="ListParagraph"/>
        <w:numPr>
          <w:ilvl w:val="0"/>
          <w:numId w:val="3"/>
        </w:numPr>
        <w:spacing w:after="80"/>
      </w:pPr>
      <w:r>
        <w:rPr>
          <w:rFonts w:ascii="Arial" w:cs="Arial" w:eastAsia="Arial" w:hAnsi="Arial"/>
          <w:b/>
          <w:bCs/>
          <w:sz w:val="22"/>
          <w:szCs w:val="22"/>
        </w:rPr>
        <w:t xml:space="preserve">Write one adapter class: </w:t>
      </w:r>
      <w:r>
        <w:rPr>
          <w:rFonts w:ascii="Arial" w:cs="Arial" w:eastAsia="Arial" w:hAnsi="Arial"/>
          <w:sz w:val="22"/>
          <w:szCs w:val="22"/>
        </w:rPr>
        <w:t xml:space="preserve">Implement the provider adapter that maps common model to/from the provider's format.</w:t>
      </w:r>
    </w:p>
    <w:p>
      <w:pPr>
        <w:pStyle w:val="ListParagraph"/>
        <w:numPr>
          <w:ilvl w:val="0"/>
          <w:numId w:val="3"/>
        </w:numPr>
        <w:spacing w:after="80"/>
      </w:pPr>
      <w:r>
        <w:rPr>
          <w:rFonts w:ascii="Arial" w:cs="Arial" w:eastAsia="Arial" w:hAnsi="Arial"/>
          <w:b/>
          <w:bCs/>
          <w:sz w:val="22"/>
          <w:szCs w:val="22"/>
        </w:rPr>
        <w:t xml:space="preserve">Register in DI: </w:t>
      </w:r>
      <w:r>
        <w:rPr>
          <w:rFonts w:ascii="Arial" w:cs="Arial" w:eastAsia="Arial" w:hAnsi="Arial"/>
          <w:sz w:val="22"/>
          <w:szCs w:val="22"/>
        </w:rPr>
        <w:t xml:space="preserve">Add the adapter to dependency injection.</w:t>
      </w:r>
    </w:p>
    <w:p>
      <w:pPr>
        <w:spacing w:after="60"/>
      </w:pPr>
    </w:p>
    <w:p>
      <w:pPr>
        <w:spacing w:after="120"/>
      </w:pPr>
      <w:r>
        <w:rPr>
          <w:rFonts w:ascii="Arial" w:cs="Arial" w:eastAsia="Arial" w:hAnsi="Arial"/>
          <w:sz w:val="22"/>
          <w:szCs w:val="22"/>
        </w:rPr>
        <w:t xml:space="preserve">The request contract, response contract, and orchestrator do not change. The caller does not need to be updated.</w:t>
      </w:r>
    </w:p>
    <w:p>
      <w:pPr>
        <w:spacing w:after="60"/>
      </w:pPr>
    </w:p>
    <w:p>
      <w:pPr>
        <w:pStyle w:val="Heading2"/>
        <w:spacing w:after="160" w:before="280"/>
      </w:pPr>
      <w:r>
        <w:rPr>
          <w:b/>
          <w:bCs/>
        </w:rPr>
        <w:t xml:space="preserve">9.2 Adding a New Caller</w:t>
      </w:r>
    </w:p>
    <w:p>
      <w:pPr>
        <w:spacing w:after="120"/>
      </w:pPr>
      <w:r>
        <w:rPr>
          <w:rFonts w:ascii="Arial" w:cs="Arial" w:eastAsia="Arial" w:hAnsi="Arial"/>
          <w:sz w:val="22"/>
          <w:szCs w:val="22"/>
        </w:rPr>
        <w:t xml:space="preserve">A new source system (e.g. a future MGA portal) sends the exact same request body. The only change is the HTTP headers (X-Entity, X-SourceId, X-Risk-Data-Provider). No code changes, no config changes.</w:t>
      </w:r>
    </w:p>
    <w:p>
      <w:r>
        <w:br w:type="page"/>
      </w:r>
    </w:p>
    <w:p>
      <w:pPr>
        <w:pStyle w:val="Heading1"/>
        <w:spacing w:after="200" w:before="360"/>
      </w:pPr>
      <w:r>
        <w:rPr>
          <w:b/>
          <w:bCs/>
        </w:rPr>
        <w:t xml:space="preserve">10. Design Considerations</w:t>
      </w:r>
    </w:p>
    <w:p>
      <w:pPr>
        <w:spacing w:after="60"/>
      </w:pPr>
    </w:p>
    <w:p>
      <w:pPr>
        <w:pStyle w:val="Heading2"/>
        <w:spacing w:after="160" w:before="280"/>
      </w:pPr>
      <w:r>
        <w:rPr>
          <w:b/>
          <w:bCs/>
        </w:rPr>
        <w:t xml:space="preserve">10.1 Confidence Score Semantics</w:t>
      </w:r>
    </w:p>
    <w:p>
      <w:pPr>
        <w:spacing w:after="120"/>
      </w:pPr>
      <w:r>
        <w:rPr>
          <w:rFonts w:ascii="Arial" w:cs="Arial" w:eastAsia="Arial" w:hAnsi="Arial"/>
          <w:sz w:val="22"/>
          <w:szCs w:val="22"/>
        </w:rPr>
        <w:t xml:space="preserve">The confidenceScore in the request is the minimum matching threshold defined by the source provider (the caller). It is passed through to the data provider as-is. The data provider uses its own matching algorithm to compute a score per result and returns only results at or above this threshold. The same value of 50 may yield different volumes across providers because each provider's scoring is independent.</w:t>
      </w:r>
    </w:p>
    <w:p>
      <w:pPr>
        <w:spacing w:after="60"/>
      </w:pPr>
    </w:p>
    <w:p>
      <w:pPr>
        <w:pStyle w:val="Heading2"/>
        <w:spacing w:after="160" w:before="280"/>
      </w:pPr>
      <w:r>
        <w:rPr>
          <w:b/>
          <w:bCs/>
        </w:rPr>
        <w:t xml:space="preserve">10.2 Status Filter Mapping</w:t>
      </w:r>
    </w:p>
    <w:p>
      <w:pPr>
        <w:spacing w:after="120"/>
      </w:pPr>
      <w:r>
        <w:rPr>
          <w:rFonts w:ascii="Arial" w:cs="Arial" w:eastAsia="Arial" w:hAnsi="Arial"/>
          <w:sz w:val="22"/>
          <w:szCs w:val="22"/>
        </w:rPr>
        <w:t xml:space="preserve">The common model defines status enums (Bound, Cancelled, InForce, etc.) but external providers use different terminology. Each adapter maintains a bidirectional status mapping table stored in Azure App Configuration. If a common status maps to nothing in a provider, the adapter logs a warning and excludes that status from the query.</w:t>
      </w:r>
    </w:p>
    <w:p>
      <w:pPr>
        <w:spacing w:after="60"/>
      </w:pPr>
    </w:p>
    <w:p>
      <w:pPr>
        <w:pStyle w:val="Heading2"/>
        <w:spacing w:after="160" w:before="280"/>
      </w:pPr>
      <w:r>
        <w:rPr>
          <w:b/>
          <w:bCs/>
        </w:rPr>
        <w:t xml:space="preserve">10.3 Idempotency</w:t>
      </w:r>
    </w:p>
    <w:p>
      <w:pPr>
        <w:spacing w:after="120"/>
      </w:pPr>
      <w:r>
        <w:rPr>
          <w:rFonts w:ascii="Arial" w:cs="Arial" w:eastAsia="Arial" w:hAnsi="Arial"/>
          <w:sz w:val="22"/>
          <w:szCs w:val="22"/>
        </w:rPr>
        <w:t xml:space="preserve">The X-CorrelationId is used as the Durable Function orchestration instance ID. If a retry arrives with the same correlation ID and an orchestration is already running, the system returns the existing status URL (202). If completed, it returns the cached result (200). This prevents duplicate Databricks queries on retries.</w:t>
      </w:r>
    </w:p>
    <w:p>
      <w:pPr>
        <w:spacing w:after="60"/>
      </w:pPr>
    </w:p>
    <w:p>
      <w:pPr>
        <w:pStyle w:val="Heading2"/>
        <w:spacing w:after="160" w:before="280"/>
      </w:pPr>
      <w:r>
        <w:rPr>
          <w:b/>
          <w:bCs/>
        </w:rPr>
        <w:t xml:space="preserve">10.4 Partial Success</w:t>
      </w:r>
    </w:p>
    <w:p>
      <w:pPr>
        <w:spacing w:after="120"/>
      </w:pPr>
      <w:r>
        <w:rPr>
          <w:rFonts w:ascii="Arial" w:cs="Arial" w:eastAsia="Arial" w:hAnsi="Arial"/>
          <w:sz w:val="22"/>
          <w:szCs w:val="22"/>
        </w:rPr>
        <w:t xml:space="preserve">When a provider queries multiple underlying sources and some fail, the response status is PARTIAL. The risks array contains records from successful sources, and the errorMessage indicates which sources failed. The caller receives whatever data is available rather than a complete failure.</w:t>
      </w:r>
    </w:p>
    <w:p>
      <w:pPr>
        <w:spacing w:after="60"/>
      </w:pPr>
    </w:p>
    <w:p>
      <w:pPr>
        <w:pStyle w:val="Heading2"/>
        <w:spacing w:after="160" w:before="280"/>
      </w:pPr>
      <w:r>
        <w:rPr>
          <w:b/>
          <w:bCs/>
        </w:rPr>
        <w:t xml:space="preserve">10.5 Response Type Normalisation</w:t>
      </w:r>
    </w:p>
    <w:p>
      <w:pPr>
        <w:spacing w:after="120"/>
      </w:pPr>
      <w:r>
        <w:rPr>
          <w:rFonts w:ascii="Arial" w:cs="Arial" w:eastAsia="Arial" w:hAnsi="Arial"/>
          <w:sz w:val="22"/>
          <w:szCs w:val="22"/>
        </w:rPr>
        <w:t xml:space="preserve">The current GSIDataPlatform returns confidenceScore as a string ("80"). The common domain model defines it as an integer. The adapter normalises this. All adapters must ensure the response conforms to the common model types regardless of what the underlying provider returns.</w:t>
      </w:r>
    </w:p>
    <w:p>
      <w:pPr>
        <w:spacing w:after="60"/>
      </w:pPr>
    </w:p>
    <w:p>
      <w:pPr>
        <w:pStyle w:val="Heading2"/>
        <w:spacing w:after="160" w:before="280"/>
      </w:pPr>
      <w:r>
        <w:rPr>
          <w:b/>
          <w:bCs/>
        </w:rPr>
        <w:t xml:space="preserve">10.6 Single Provider Per Request</w:t>
      </w:r>
    </w:p>
    <w:p>
      <w:pPr>
        <w:spacing w:after="120"/>
      </w:pPr>
      <w:r>
        <w:rPr>
          <w:rFonts w:ascii="Arial" w:cs="Arial" w:eastAsia="Arial" w:hAnsi="Arial"/>
          <w:sz w:val="22"/>
          <w:szCs w:val="22"/>
        </w:rPr>
        <w:t xml:space="preserve">The design supports one provider per request. If a caller needs data from multiple providers, they make separate requests. This keeps orchestration simple, avoids coupling providers with different latency profiles, and allows the caller to parallelise requests. Multi-provider fan-out can be added as a future enhancement without breaking the contract.</w:t>
      </w:r>
    </w:p>
    <w:p>
      <w:pPr>
        <w:pBdr>
          <w:bottom w:val="single" w:color="1B4F72" w:sz="4" w:space="1"/>
        </w:pBdr>
        <w:spacing w:after="200" w:before="200"/>
      </w:pPr>
    </w:p>
    <w:p>
      <w:pPr>
        <w:pStyle w:val="Heading1"/>
        <w:spacing w:after="200" w:before="360"/>
      </w:pPr>
      <w:r>
        <w:rPr>
          <w:b/>
          <w:bCs/>
        </w:rPr>
        <w:t xml:space="preserve">11. Open Questions for SA Forum</w:t>
      </w:r>
    </w:p>
    <w:p>
      <w:pPr>
        <w:spacing w:after="60"/>
      </w:pPr>
    </w:p>
    <w:p>
      <w:pPr>
        <w:pStyle w:val="ListParagraph"/>
        <w:numPr>
          <w:ilvl w:val="0"/>
          <w:numId w:val="3"/>
        </w:numPr>
        <w:spacing w:after="80"/>
      </w:pPr>
      <w:r>
        <w:rPr>
          <w:rFonts w:ascii="Arial" w:cs="Arial" w:eastAsia="Arial" w:hAnsi="Arial"/>
          <w:sz w:val="22"/>
          <w:szCs w:val="22"/>
        </w:rPr>
        <w:t xml:space="preserve">Should the insured identifier model use a typed array (identifiers with type/value) or remain as a single dnbNumber? If typed, what is the initial set of identifier types?</w:t>
      </w:r>
    </w:p>
    <w:p>
      <w:pPr>
        <w:pStyle w:val="ListParagraph"/>
        <w:numPr>
          <w:ilvl w:val="0"/>
          <w:numId w:val="3"/>
        </w:numPr>
        <w:spacing w:after="80"/>
      </w:pPr>
      <w:r>
        <w:rPr>
          <w:rFonts w:ascii="Arial" w:cs="Arial" w:eastAsia="Arial" w:hAnsi="Arial"/>
          <w:sz w:val="22"/>
          <w:szCs w:val="22"/>
        </w:rPr>
        <w:t xml:space="preserve">Should the enum values (TransactionType, TransactionStatus, ClassOfBusiness) be closed enums or open strings? Closed enums are safer but require code changes to extend.</w:t>
      </w:r>
    </w:p>
    <w:p>
      <w:pPr>
        <w:pStyle w:val="ListParagraph"/>
        <w:numPr>
          <w:ilvl w:val="0"/>
          <w:numId w:val="3"/>
        </w:numPr>
        <w:spacing w:after="80"/>
      </w:pPr>
      <w:r>
        <w:rPr>
          <w:rFonts w:ascii="Arial" w:cs="Arial" w:eastAsia="Arial" w:hAnsi="Arial"/>
          <w:sz w:val="22"/>
          <w:szCs w:val="22"/>
        </w:rPr>
        <w:t xml:space="preserve">Is the Durable Functions 202 polling model acceptable for all callers, or do some callers require a synchronous response within a timeout?</w:t>
      </w:r>
    </w:p>
    <w:p>
      <w:pPr>
        <w:pStyle w:val="ListParagraph"/>
        <w:numPr>
          <w:ilvl w:val="0"/>
          <w:numId w:val="3"/>
        </w:numPr>
        <w:spacing w:after="80"/>
      </w:pPr>
      <w:r>
        <w:rPr>
          <w:rFonts w:ascii="Arial" w:cs="Arial" w:eastAsia="Arial" w:hAnsi="Arial"/>
          <w:sz w:val="22"/>
          <w:szCs w:val="22"/>
        </w:rPr>
        <w:t xml:space="preserve">Do we need a maximum searchPeriodMonths limit enforced at the API level, or should each provider define its own maximum?</w:t>
      </w:r>
    </w:p>
    <w:p>
      <w:pPr>
        <w:pStyle w:val="ListParagraph"/>
        <w:numPr>
          <w:ilvl w:val="0"/>
          <w:numId w:val="3"/>
        </w:numPr>
        <w:spacing w:after="80"/>
      </w:pPr>
      <w:r>
        <w:rPr>
          <w:rFonts w:ascii="Arial" w:cs="Arial" w:eastAsia="Arial" w:hAnsi="Arial"/>
          <w:sz w:val="22"/>
          <w:szCs w:val="22"/>
        </w:rPr>
        <w:t xml:space="preserve">Should the status mapping table per provider be maintained in Azure App Configuration or documented as part of the adapter implementation?</w:t>
      </w:r>
    </w:p>
    <w:p>
      <w:pPr>
        <w:pStyle w:val="ListParagraph"/>
        <w:numPr>
          <w:ilvl w:val="0"/>
          <w:numId w:val="3"/>
        </w:numPr>
        <w:spacing w:after="80"/>
      </w:pPr>
      <w:r>
        <w:rPr>
          <w:rFonts w:ascii="Arial" w:cs="Arial" w:eastAsia="Arial" w:hAnsi="Arial"/>
          <w:sz w:val="22"/>
          <w:szCs w:val="22"/>
        </w:rPr>
        <w:t xml:space="preserve">Should the API be versioned via URL path (/v1/risks, /v2/risks) or via Accept headers?</w:t>
      </w:r>
    </w:p>
    <w:p>
      <w:pPr>
        <w:pStyle w:val="ListParagraph"/>
        <w:numPr>
          <w:ilvl w:val="0"/>
          <w:numId w:val="3"/>
        </w:numPr>
        <w:spacing w:after="80"/>
      </w:pPr>
      <w:r>
        <w:rPr>
          <w:rFonts w:ascii="Arial" w:cs="Arial" w:eastAsia="Arial" w:hAnsi="Arial"/>
          <w:sz w:val="22"/>
          <w:szCs w:val="22"/>
        </w:rPr>
        <w:t xml:space="preserve">Is PARTIAL response status sufficient for communicating source-level failures, or do we need per-source error details in the risks array?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Confidential — MRSGt Broker Portal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Risk Clearance API — Common Domain Model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B4F72"/>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2E86C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2026-04-17T03:58:41.675Z</dcterms:created>
  <dcterms:modified xsi:type="dcterms:W3CDTF">2026-04-17T03:58:41.676Z</dcterms:modified>
</cp:coreProperties>
</file>

<file path=docProps/custom.xml><?xml version="1.0" encoding="utf-8"?>
<Properties xmlns="http://schemas.openxmlformats.org/officeDocument/2006/custom-properties" xmlns:vt="http://schemas.openxmlformats.org/officeDocument/2006/docPropsVTypes"/>
</file>