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2406B"/>
          <w:sz w:val="52"/>
          <w:szCs w:val="52"/>
        </w:rPr>
        <w:t xml:space="preserve">FLOOD PREDICTION SYSTEM</w:t>
      </w:r>
    </w:p>
    <w:p>
      <w:pPr>
        <w:spacing w:after="60"/>
        <w:jc w:val="center"/>
      </w:pPr>
      <w:r>
        <w:rPr>
          <w:color w:val="0B2039"/>
          <w:sz w:val="26"/>
          <w:szCs w:val="26"/>
        </w:rPr>
        <w:t xml:space="preserve">Machine Learning Model Development, Evaluation &amp; Deployment Report</w:t>
      </w:r>
    </w:p>
    <w:p>
      <w:pPr>
        <w:spacing w:after="800"/>
        <w:jc w:val="center"/>
      </w:pPr>
      <w:r>
        <w:rPr>
          <w:i/>
          <w:iCs/>
          <w:color w:val="555555"/>
          <w:sz w:val="22"/>
          <w:szCs w:val="22"/>
        </w:rPr>
        <w:t xml:space="preserve">Decision Tree · Random Forest · K-Nearest Neighbors · XGBoost</w:t>
      </w:r>
    </w:p>
    <w:p>
      <w:pPr>
        <w:jc w:val="center"/>
      </w:pPr>
      <w:r>
        <w:rPr>
          <w:color w:val="777777"/>
          <w:sz w:val="20"/>
          <w:szCs w:val="20"/>
        </w:rPr>
        <w:t xml:space="preserve">Prepared: August 2026</w:t>
      </w:r>
    </w:p>
    <w:p>
      <w:r>
        <w:br w:type="page"/>
      </w:r>
    </w:p>
    <w:p>
      <w:pPr>
        <w:pStyle w:val="Heading1"/>
        <w:spacing w:after="140" w:before="280"/>
      </w:pPr>
      <w:r>
        <w:t xml:space="preserve">1. Project Overview</w:t>
      </w:r>
    </w:p>
    <w:p>
      <w:pPr>
        <w:spacing w:after="120"/>
      </w:pPr>
      <w:r>
        <w:t xml:space="preserve">This project builds a supervised machine learning pipeline to predict flood occurrence from hydrological and weather-related features. Four classification algorithms are trained and evaluated on identical train/test splits, compared side by side, and the strongest model is packaged for real-time deployment through a Flask web application.</w:t>
      </w:r>
    </w:p>
    <w:p>
      <w:pPr>
        <w:spacing w:after="120"/>
      </w:pPr>
      <w:r>
        <w:t xml:space="preserve">Each model is implemented as a standalone, reusable function accepting the same signature — X_train, X_test, y_train, y_test — so that models can be trained, evaluated, and swapped consistently.</w:t>
      </w:r>
    </w:p>
    <w:p>
      <w:pPr>
        <w:pStyle w:val="Heading1"/>
        <w:spacing w:after="140" w:before="280"/>
      </w:pPr>
      <w:r>
        <w:t xml:space="preserve">2. Decision Tree Model</w:t>
      </w:r>
    </w:p>
    <w:p>
      <w:pPr>
        <w:spacing w:after="100"/>
      </w:pPr>
      <w:r>
        <w:rPr>
          <w:b/>
          <w:bCs/>
        </w:rPr>
        <w:t xml:space="preserve">Function: </w:t>
      </w:r>
      <w:r>
        <w:t xml:space="preserve">decisiontree(X_train, X_test, y_train, y_test)</w:t>
      </w:r>
    </w:p>
    <w:p>
      <w:pPr>
        <w:spacing w:after="120"/>
      </w:pPr>
      <w:r>
        <w:t xml:space="preserve">A Decision Tree is a supervised learning algorithm used for classification and prediction. It splits the dataset into branches based on feature values; each branch represents a decision condition, and the final leaf node represents the predicted class.</w:t>
      </w:r>
    </w:p>
    <w:p>
      <w:pPr>
        <w:spacing w:after="120"/>
      </w:pPr>
      <w:r>
        <w:t xml:space="preserve">Workflow:</w:t>
      </w:r>
    </w:p>
    <w:p>
      <w:pPr>
        <w:pStyle w:val="ListParagraph"/>
        <w:numPr>
          <w:ilvl w:val="0"/>
          <w:numId w:val="2"/>
        </w:numPr>
        <w:spacing w:after="60"/>
      </w:pPr>
      <w:r>
        <w:t xml:space="preserve">Initialize DecisionTreeClassifier from scikit-learn.</w:t>
      </w:r>
    </w:p>
    <w:p>
      <w:pPr>
        <w:pStyle w:val="ListParagraph"/>
        <w:numPr>
          <w:ilvl w:val="0"/>
          <w:numId w:val="2"/>
        </w:numPr>
        <w:spacing w:after="60"/>
      </w:pPr>
      <w:r>
        <w:t xml:space="preserve">Train with .fit(), which learns patterns by relating input features to the target variable.</w:t>
      </w:r>
    </w:p>
    <w:p>
      <w:pPr>
        <w:pStyle w:val="ListParagraph"/>
        <w:numPr>
          <w:ilvl w:val="0"/>
          <w:numId w:val="2"/>
        </w:numPr>
        <w:spacing w:after="60"/>
      </w:pPr>
      <w:r>
        <w:t xml:space="preserve">Generate predictions on test data with .predict().</w:t>
      </w:r>
    </w:p>
    <w:p>
      <w:pPr>
        <w:pStyle w:val="ListParagraph"/>
        <w:numPr>
          <w:ilvl w:val="0"/>
          <w:numId w:val="2"/>
        </w:numPr>
        <w:spacing w:after="60"/>
      </w:pPr>
      <w:r>
        <w:t xml:space="preserve">Evaluate with accuracy score, confusion matrix, and classification report.</w:t>
      </w:r>
    </w:p>
    <w:p>
      <w:pPr>
        <w:pStyle w:val="Heading1"/>
        <w:spacing w:after="140" w:before="280"/>
      </w:pPr>
      <w:r>
        <w:t xml:space="preserve">3. Random Forest Model</w:t>
      </w:r>
    </w:p>
    <w:p>
      <w:pPr>
        <w:spacing w:after="100"/>
      </w:pPr>
      <w:r>
        <w:rPr>
          <w:b/>
          <w:bCs/>
        </w:rPr>
        <w:t xml:space="preserve">Function: </w:t>
      </w:r>
      <w:r>
        <w:t xml:space="preserve">randomForest(X_train, X_test, y_train, y_test, n_estimators=100, random_state=42)</w:t>
      </w:r>
    </w:p>
    <w:p>
      <w:pPr>
        <w:spacing w:after="120"/>
      </w:pPr>
      <w:r>
        <w:t xml:space="preserve">Random Forest is an ensemble of decision trees. Key hyperparameters include n_estimators (the number of trees) and random_state (for reproducible results). The model is trained with .fit() and evaluated with accuracy, a confusion matrix, and a classification report, then the trained model and predictions are returned for downstream use.</w:t>
      </w:r>
    </w:p>
    <w:p>
      <w:pPr>
        <w:pStyle w:val="Heading1"/>
        <w:spacing w:after="140" w:before="280"/>
      </w:pPr>
      <w:r>
        <w:t xml:space="preserve">4. K-Nearest Neighbors (KNN) Model</w:t>
      </w:r>
    </w:p>
    <w:p>
      <w:pPr>
        <w:spacing w:after="100"/>
      </w:pPr>
      <w:r>
        <w:rPr>
          <w:b/>
          <w:bCs/>
        </w:rPr>
        <w:t xml:space="preserve">Function: </w:t>
      </w:r>
      <w:r>
        <w:t xml:space="preserve">KNN(X_train, X_test, y_train, y_test)</w:t>
      </w:r>
    </w:p>
    <w:p>
      <w:pPr>
        <w:spacing w:after="120"/>
      </w:pPr>
      <w:r>
        <w:t xml:space="preserve">KNN classifies a new data point based on the majority class among its n_neighbors=5 closest neighbors in the training data. The model is trained with .fit(), predictions are generated with .predict(), and performance is reported via accuracy score, confusion matrix, and classification report.</w:t>
      </w:r>
    </w:p>
    <w:p>
      <w:pPr>
        <w:pStyle w:val="Heading1"/>
        <w:spacing w:after="140" w:before="280"/>
      </w:pPr>
      <w:r>
        <w:t xml:space="preserve">5. XGBoost (Gradient Boosting) Model</w:t>
      </w:r>
    </w:p>
    <w:p>
      <w:pPr>
        <w:spacing w:after="100"/>
      </w:pPr>
      <w:r>
        <w:rPr>
          <w:b/>
          <w:bCs/>
        </w:rPr>
        <w:t xml:space="preserve">Function: </w:t>
      </w:r>
      <w:r>
        <w:t xml:space="preserve">xgboost(X_train, X_test, y_train, y_test)</w:t>
      </w:r>
    </w:p>
    <w:p>
      <w:pPr>
        <w:spacing w:after="120"/>
      </w:pPr>
      <w:r>
        <w:t xml:space="preserve">This function trains a boosting classifier that combines multiple weak learners sequentially, with each new learner correcting the errors of the previous ones. It is trained with .fit(), evaluated on unseen test data with .predict(), and scored using accuracy, a confusion matrix, and a classification report.</w:t>
      </w:r>
    </w:p>
    <w:p>
      <w:pPr>
        <w:pStyle w:val="Heading1"/>
        <w:spacing w:after="140" w:before="280"/>
      </w:pPr>
      <w:r>
        <w:t xml:space="preserve">6. Evaluation Metrics Used</w:t>
      </w:r>
    </w:p>
    <w:p>
      <w:pPr>
        <w:pStyle w:val="ListParagraph"/>
        <w:numPr>
          <w:ilvl w:val="0"/>
          <w:numId w:val="2"/>
        </w:numPr>
        <w:spacing w:after="60"/>
      </w:pPr>
      <w:r>
        <w:t xml:space="preserve">Accuracy Score — the overall percentage of correct predictions.</w:t>
      </w:r>
    </w:p>
    <w:p>
      <w:pPr>
        <w:pStyle w:val="ListParagraph"/>
        <w:numPr>
          <w:ilvl w:val="0"/>
          <w:numId w:val="2"/>
        </w:numPr>
        <w:spacing w:after="60"/>
      </w:pPr>
      <w:r>
        <w:t xml:space="preserve">Confusion Matrix — true positives, true negatives, false positives, and false negatives.</w:t>
      </w:r>
    </w:p>
    <w:p>
      <w:pPr>
        <w:pStyle w:val="ListParagraph"/>
        <w:numPr>
          <w:ilvl w:val="0"/>
          <w:numId w:val="2"/>
        </w:numPr>
        <w:spacing w:after="60"/>
      </w:pPr>
      <w:r>
        <w:t xml:space="preserve">Precision — of predicted positive results, how many are actually correct.</w:t>
      </w:r>
    </w:p>
    <w:p>
      <w:pPr>
        <w:pStyle w:val="ListParagraph"/>
        <w:numPr>
          <w:ilvl w:val="0"/>
          <w:numId w:val="2"/>
        </w:numPr>
        <w:spacing w:after="60"/>
      </w:pPr>
      <w:r>
        <w:t xml:space="preserve">Recall — of actual positive results, how many are correctly identified.</w:t>
      </w:r>
    </w:p>
    <w:p>
      <w:pPr>
        <w:pStyle w:val="ListParagraph"/>
        <w:numPr>
          <w:ilvl w:val="0"/>
          <w:numId w:val="2"/>
        </w:numPr>
        <w:spacing w:after="60"/>
      </w:pPr>
      <w:r>
        <w:t xml:space="preserve">F1-score — a balanced measure of precision and recall.</w:t>
      </w:r>
    </w:p>
    <w:p>
      <w:pPr>
        <w:pStyle w:val="ListParagraph"/>
        <w:numPr>
          <w:ilvl w:val="0"/>
          <w:numId w:val="2"/>
        </w:numPr>
        <w:spacing w:after="60"/>
      </w:pPr>
      <w:r>
        <w:t xml:space="preserve">Support — the number of actual samples for each class.</w:t>
      </w:r>
    </w:p>
    <w:p>
      <w:pPr>
        <w:pStyle w:val="Heading1"/>
        <w:spacing w:after="140" w:before="280"/>
      </w:pPr>
      <w:r>
        <w:t xml:space="preserve">7. Model Comparison — compareModel()</w:t>
      </w:r>
    </w:p>
    <w:p>
      <w:pPr>
        <w:spacing w:after="120"/>
      </w:pPr>
      <w:r>
        <w:t xml:space="preserve">The compareModel() function consolidates the performance of all four trained models into a single, side-by-side view, making it straightforward to identify the strongest algorithm based on test-data performance.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c>
          <w:tcPr>
            <w:tcW w:type="dxa" w:w="3200"/>
            <w:shd w:fill="12406B" w:val="clear"/>
          </w:tcPr>
          <w:p>
            <w:r>
              <w:rPr>
                <w:b/>
                <w:bCs/>
                <w:color w:val="FFFFFF"/>
              </w:rPr>
              <w:t xml:space="preserve">Model</w:t>
            </w:r>
          </w:p>
        </w:tc>
        <w:tc>
          <w:tcPr>
            <w:tcW w:type="dxa" w:w="1900"/>
            <w:shd w:fill="12406B" w:val="clear"/>
          </w:tcPr>
          <w:p>
            <w:r>
              <w:rPr>
                <w:b/>
                <w:bCs/>
                <w:color w:val="FFFFFF"/>
              </w:rPr>
              <w:t xml:space="preserve">Accuracy</w:t>
            </w:r>
          </w:p>
        </w:tc>
        <w:tc>
          <w:tcPr>
            <w:tcW w:type="dxa" w:w="1900"/>
            <w:shd w:fill="12406B" w:val="clear"/>
          </w:tcPr>
          <w:p>
            <w:r>
              <w:rPr>
                <w:b/>
                <w:bCs/>
                <w:color w:val="FFFFFF"/>
              </w:rPr>
              <w:t xml:space="preserve">Precision</w:t>
            </w:r>
          </w:p>
        </w:tc>
        <w:tc>
          <w:tcPr>
            <w:tcW w:type="dxa" w:w="1900"/>
            <w:shd w:fill="12406B" w:val="clear"/>
          </w:tcPr>
          <w:p>
            <w:r>
              <w:rPr>
                <w:b/>
                <w:bCs/>
                <w:color w:val="FFFFFF"/>
              </w:rPr>
              <w:t xml:space="preserve">Recall</w:t>
            </w:r>
          </w:p>
        </w:tc>
      </w:tr>
      <w:tr>
        <w:tc>
          <w:tcPr>
            <w:tcW w:type="dxa" w:w="3200"/>
          </w:tcPr>
          <w:p>
            <w:r>
              <w:rPr>
                <w:b w:val="false"/>
                <w:bCs w:val="false"/>
                <w:color w:val="0B2039"/>
              </w:rPr>
              <w:t xml:space="preserve">Decision Tree</w:t>
            </w:r>
          </w:p>
        </w:tc>
        <w:tc>
          <w:tcPr>
            <w:tcW w:type="dxa" w:w="1900"/>
          </w:tcPr>
          <w:p>
            <w:r>
              <w:rPr>
                <w:b w:val="false"/>
                <w:bCs w:val="false"/>
                <w:color w:val="0B2039"/>
              </w:rPr>
              <w:t xml:space="preserve">0.7750</w:t>
            </w:r>
          </w:p>
        </w:tc>
        <w:tc>
          <w:tcPr>
            <w:tcW w:type="dxa" w:w="1900"/>
          </w:tcPr>
          <w:p>
            <w:r>
              <w:rPr>
                <w:b w:val="false"/>
                <w:bCs w:val="false"/>
                <w:color w:val="0B2039"/>
              </w:rPr>
              <w:t xml:space="preserve">0.6324</w:t>
            </w:r>
          </w:p>
        </w:tc>
        <w:tc>
          <w:tcPr>
            <w:tcW w:type="dxa" w:w="1900"/>
          </w:tcPr>
          <w:p>
            <w:r>
              <w:rPr>
                <w:b w:val="false"/>
                <w:bCs w:val="false"/>
                <w:color w:val="0B2039"/>
              </w:rPr>
              <w:t xml:space="preserve">0.5972</w:t>
            </w:r>
          </w:p>
        </w:tc>
      </w:tr>
      <w:tr>
        <w:tc>
          <w:tcPr>
            <w:tcW w:type="dxa" w:w="3200"/>
          </w:tcPr>
          <w:p>
            <w:r>
              <w:rPr>
                <w:b w:val="false"/>
                <w:bCs w:val="false"/>
                <w:color w:val="0B2039"/>
              </w:rPr>
              <w:t xml:space="preserve">Random Forest</w:t>
            </w:r>
          </w:p>
        </w:tc>
        <w:tc>
          <w:tcPr>
            <w:tcW w:type="dxa" w:w="1900"/>
          </w:tcPr>
          <w:p>
            <w:r>
              <w:rPr>
                <w:b w:val="false"/>
                <w:bCs w:val="false"/>
                <w:color w:val="0B2039"/>
              </w:rPr>
              <w:t xml:space="preserve">0.8542</w:t>
            </w:r>
          </w:p>
        </w:tc>
        <w:tc>
          <w:tcPr>
            <w:tcW w:type="dxa" w:w="1900"/>
          </w:tcPr>
          <w:p>
            <w:r>
              <w:rPr>
                <w:b w:val="false"/>
                <w:bCs w:val="false"/>
                <w:color w:val="0B2039"/>
              </w:rPr>
              <w:t xml:space="preserve">0.8364</w:t>
            </w:r>
          </w:p>
        </w:tc>
        <w:tc>
          <w:tcPr>
            <w:tcW w:type="dxa" w:w="1900"/>
          </w:tcPr>
          <w:p>
            <w:r>
              <w:rPr>
                <w:b w:val="false"/>
                <w:bCs w:val="false"/>
                <w:color w:val="0B2039"/>
              </w:rPr>
              <w:t xml:space="preserve">0.6389</w:t>
            </w:r>
          </w:p>
        </w:tc>
      </w:tr>
      <w:tr>
        <w:tc>
          <w:tcPr>
            <w:tcW w:type="dxa" w:w="3200"/>
          </w:tcPr>
          <w:p>
            <w:r>
              <w:rPr>
                <w:b w:val="false"/>
                <w:bCs w:val="false"/>
                <w:color w:val="0B2039"/>
              </w:rPr>
              <w:t xml:space="preserve">K-Nearest Neighbors</w:t>
            </w:r>
          </w:p>
        </w:tc>
        <w:tc>
          <w:tcPr>
            <w:tcW w:type="dxa" w:w="1900"/>
          </w:tcPr>
          <w:p>
            <w:r>
              <w:rPr>
                <w:b w:val="false"/>
                <w:bCs w:val="false"/>
                <w:color w:val="0B2039"/>
              </w:rPr>
              <w:t xml:space="preserve">0.8417</w:t>
            </w:r>
          </w:p>
        </w:tc>
        <w:tc>
          <w:tcPr>
            <w:tcW w:type="dxa" w:w="1900"/>
          </w:tcPr>
          <w:p>
            <w:r>
              <w:rPr>
                <w:b w:val="false"/>
                <w:bCs w:val="false"/>
                <w:color w:val="0B2039"/>
              </w:rPr>
              <w:t xml:space="preserve">0.8148</w:t>
            </w:r>
          </w:p>
        </w:tc>
        <w:tc>
          <w:tcPr>
            <w:tcW w:type="dxa" w:w="1900"/>
          </w:tcPr>
          <w:p>
            <w:r>
              <w:rPr>
                <w:b w:val="false"/>
                <w:bCs w:val="false"/>
                <w:color w:val="0B2039"/>
              </w:rPr>
              <w:t xml:space="preserve">0.6111</w:t>
            </w:r>
          </w:p>
        </w:tc>
      </w:tr>
      <w:tr>
        <w:tc>
          <w:tcPr>
            <w:tcW w:type="dxa" w:w="3200"/>
          </w:tcPr>
          <w:p>
            <w:r>
              <w:rPr>
                <w:b w:val="false"/>
                <w:bCs w:val="false"/>
                <w:color w:val="0B2039"/>
              </w:rPr>
              <w:t xml:space="preserve">XGBoost (selected)</w:t>
            </w:r>
          </w:p>
        </w:tc>
        <w:tc>
          <w:tcPr>
            <w:tcW w:type="dxa" w:w="1900"/>
          </w:tcPr>
          <w:p>
            <w:r>
              <w:rPr>
                <w:b w:val="false"/>
                <w:bCs w:val="false"/>
                <w:color w:val="0B2039"/>
              </w:rPr>
              <w:t xml:space="preserve">0.8750</w:t>
            </w:r>
          </w:p>
        </w:tc>
        <w:tc>
          <w:tcPr>
            <w:tcW w:type="dxa" w:w="1900"/>
          </w:tcPr>
          <w:p>
            <w:r>
              <w:rPr>
                <w:b w:val="false"/>
                <w:bCs w:val="false"/>
                <w:color w:val="0B2039"/>
              </w:rPr>
              <w:t xml:space="preserve">0.8500</w:t>
            </w:r>
          </w:p>
        </w:tc>
        <w:tc>
          <w:tcPr>
            <w:tcW w:type="dxa" w:w="1900"/>
          </w:tcPr>
          <w:p>
            <w:r>
              <w:rPr>
                <w:b w:val="false"/>
                <w:bCs w:val="false"/>
                <w:color w:val="0B2039"/>
              </w:rPr>
              <w:t xml:space="preserve">0.7083</w:t>
            </w:r>
          </w:p>
        </w:tc>
      </w:tr>
    </w:tbl>
    <w:p>
      <w:pPr>
        <w:spacing w:before="200"/>
      </w:pPr>
    </w:p>
    <w:p>
      <w:pPr>
        <w:spacing w:after="120"/>
      </w:pPr>
      <w:r>
        <w:t xml:space="preserve">XGBoost achieved the highest accuracy (0.8750), the highest precision (0.8500), and the highest recall (0.7083) among the four models, and was selected as the final model for deployment.</w:t>
      </w:r>
    </w:p>
    <w:p>
      <w:pPr>
        <w:spacing w:after="100"/>
      </w:pPr>
      <w:r>
        <w:rPr>
          <w:b/>
          <w:bCs/>
        </w:rPr>
        <w:t xml:space="preserve">Why XGBoost was selected: </w:t>
      </w:r>
      <w:r>
        <w:t xml:space="preserve"/>
      </w:r>
    </w:p>
    <w:p>
      <w:pPr>
        <w:pStyle w:val="ListParagraph"/>
        <w:numPr>
          <w:ilvl w:val="0"/>
          <w:numId w:val="2"/>
        </w:numPr>
        <w:spacing w:after="60"/>
      </w:pPr>
      <w:r>
        <w:t xml:space="preserve">Generalization — performs strongly on structured, tabular data.</w:t>
      </w:r>
    </w:p>
    <w:p>
      <w:pPr>
        <w:pStyle w:val="ListParagraph"/>
        <w:numPr>
          <w:ilvl w:val="0"/>
          <w:numId w:val="2"/>
        </w:numPr>
        <w:spacing w:after="60"/>
      </w:pPr>
      <w:r>
        <w:t xml:space="preserve">Algorithm mechanics — combines weak learners sequentially, reducing errors by learning from previous mistakes.</w:t>
      </w:r>
    </w:p>
    <w:p>
      <w:pPr>
        <w:pStyle w:val="ListParagraph"/>
        <w:numPr>
          <w:ilvl w:val="0"/>
          <w:numId w:val="2"/>
        </w:numPr>
        <w:spacing w:after="60"/>
      </w:pPr>
      <w:r>
        <w:t xml:space="preserve">Stability — less prone to overfitting than a single Decision Tree, and handles complex feature interactions better than simpler models.</w:t>
      </w:r>
    </w:p>
    <w:p>
      <w:pPr>
        <w:pStyle w:val="Heading1"/>
        <w:spacing w:after="140" w:before="280"/>
      </w:pPr>
      <w:r>
        <w:t xml:space="preserve">8. Model Saving &amp; Deployment</w:t>
      </w:r>
    </w:p>
    <w:p>
      <w:pPr>
        <w:spacing w:after="120"/>
      </w:pPr>
      <w:r>
        <w:t xml:space="preserve">After evaluation, the XGBoost model was saved with Joblib to avoid retraining on every prediction request:</w:t>
      </w:r>
    </w:p>
    <w:p>
      <w:pPr>
        <w:pStyle w:val="ListParagraph"/>
        <w:numPr>
          <w:ilvl w:val="0"/>
          <w:numId w:val="2"/>
        </w:numPr>
        <w:spacing w:after="60"/>
      </w:pPr>
      <w:r>
        <w:t xml:space="preserve">Trained model → models/floods.save</w:t>
      </w:r>
    </w:p>
    <w:p>
      <w:pPr>
        <w:pStyle w:val="ListParagraph"/>
        <w:numPr>
          <w:ilvl w:val="0"/>
          <w:numId w:val="2"/>
        </w:numPr>
        <w:spacing w:after="60"/>
      </w:pPr>
      <w:r>
        <w:t xml:space="preserve">Fitted StandardScaler → models/transform.save</w:t>
      </w:r>
    </w:p>
    <w:p>
      <w:pPr>
        <w:spacing w:after="120"/>
      </w:pPr>
      <w:r>
        <w:t xml:space="preserve">Saving both the model and the scaler together ensures that the exact same data transformation and prediction logic used during training is applied at inference time.</w:t>
      </w:r>
    </w:p>
    <w:p>
      <w:pPr>
        <w:spacing w:after="120"/>
      </w:pPr>
      <w:r>
        <w:t xml:space="preserve">The saved artifacts are integrated into a Flask application (app.py). At request time, the app loads the scaler to standardize the user's input and then applies the saved XGBoost model to generate the flood prediction, along with a confidence score.</w:t>
      </w:r>
    </w:p>
    <w:p>
      <w:pPr>
        <w:pStyle w:val="Heading1"/>
        <w:spacing w:after="140" w:before="280"/>
      </w:pPr>
      <w:r>
        <w:t xml:space="preserve">9. Conclusion</w:t>
      </w:r>
    </w:p>
    <w:p>
      <w:pPr>
        <w:spacing w:after="120"/>
      </w:pPr>
      <w:r>
        <w:t xml:space="preserve">This comparison-driven workflow ensures the final model is chosen on measured, reproducible evidence rather than assumption. XGBoost was selected for final deployment due to its high accuracy, robust generalization, and reliable, stable performance across the evaluation metrics.</w:t>
      </w:r>
    </w:p>
    <w:p>
      <w:pPr>
        <w:pStyle w:val="Heading1"/>
        <w:spacing w:after="140" w:before="280"/>
      </w:pPr>
      <w:r>
        <w:t xml:space="preserve">10. Reference Links</w:t>
      </w:r>
    </w:p>
    <w:p>
      <w:pPr>
        <w:spacing w:after="100"/>
      </w:pPr>
      <w:r>
        <w:t xml:space="preserve">Confusion Matrix — </w:t>
      </w:r>
      <w:hyperlink w:history="1" r:id="rId20ze3zp07mlj8zlw8lfys">
        <w:r>
          <w:rPr>
            <w:rStyle w:val="Hyperlink"/>
          </w:rPr>
          <w:t xml:space="preserve">analyticsvidhya.com</w:t>
        </w:r>
      </w:hyperlink>
    </w:p>
    <w:p>
      <w:pPr>
        <w:spacing w:after="100"/>
      </w:pPr>
      <w:r>
        <w:t xml:space="preserve">Classification Report — </w:t>
      </w:r>
      <w:hyperlink w:history="1" r:id="rIduuvzv5v5c5v7rz6dsgcrk">
        <w:r>
          <w:rPr>
            <w:rStyle w:val="Hyperlink"/>
          </w:rPr>
          <w:t xml:space="preserve">medium.com</w:t>
        </w:r>
      </w:hyperlink>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0ze3zp07mlj8zlw8lfys" Type="http://schemas.openxmlformats.org/officeDocument/2006/relationships/hyperlink" Target="https://www.analyticsvidhya.com/blog/2020/04/confusion-matrix-machine-learning/" TargetMode="External"/><Relationship Id="rIduuvzv5v5c5v7rz6dsgcrk" Type="http://schemas.openxmlformats.org/officeDocument/2006/relationships/hyperlink" Target="https://medium.com/@kohlishivam5522/understanding-a-classification-report-for-your-machine-learning-model-88815e2ce397"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2026-08-07T11:15:34.526Z</dcterms:created>
  <dcterms:modified xsi:type="dcterms:W3CDTF">2026-08-07T11:15:34.540Z</dcterms:modified>
</cp:coreProperties>
</file>

<file path=docProps/custom.xml><?xml version="1.0" encoding="utf-8"?>
<Properties xmlns="http://schemas.openxmlformats.org/officeDocument/2006/custom-properties" xmlns:vt="http://schemas.openxmlformats.org/officeDocument/2006/docPropsVTypes"/>
</file>